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Placement financier n°03</w:t>
      </w:r>
    </w:p>
    <w:p>
      <w:pPr>
        <w:pStyle w:val="Heading1"/>
        <w:spacing w:after="200"/>
        <w:jc w:val="center"/>
      </w:pPr>
      <w:r>
        <w:rPr>
          <w:rFonts w:ascii="Times New Roman" w:cs="Times New Roman" w:eastAsia="Times New Roman" w:hAnsi="Times New Roman"/>
          <w:b/>
          <w:bCs/>
          <w:color w:val="1B3A6B"/>
          <w:sz w:val="52"/>
          <w:szCs w:val="52"/>
        </w:rPr>
        <w:t xml:space="preserve">Les classes d'actifs : monétaire, obligations, actions, immobilier</w:t>
      </w:r>
    </w:p>
    <w:p>
      <w:pPr>
        <w:spacing w:after="80"/>
        <w:jc w:val="center"/>
      </w:pPr>
      <w:r>
        <w:rPr>
          <w:rFonts w:ascii="Times New Roman" w:cs="Times New Roman" w:eastAsia="Times New Roman" w:hAnsi="Times New Roman"/>
          <w:i/>
          <w:iCs/>
          <w:color w:val="1B3A6B"/>
          <w:sz w:val="20"/>
          <w:szCs w:val="20"/>
        </w:rPr>
        <w:t xml:space="preserve">Date : 27 juin 2026  |  Module Fondamental — Leçon 3 sur 16</w:t>
      </w:r>
    </w:p>
    <w:p>
      <w:pPr>
        <w:spacing w:after="300"/>
        <w:jc w:val="center"/>
      </w:pPr>
      <w:r>
        <w:rPr>
          <w:rFonts w:ascii="Times New Roman" w:cs="Times New Roman" w:eastAsia="Times New Roman" w:hAnsi="Times New Roman"/>
          <w:i/>
          <w:iCs/>
          <w:color w:val="1B3A6B"/>
          <w:sz w:val="18"/>
          <w:szCs w:val="18"/>
        </w:rPr>
        <w:t xml:space="preserve">Parcours : Fondations (L1–L4) → Enveloppes (L5–L8) → Stratégie (L9–L12) → Protection &amp; Sortie (L13–L16)</w:t>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80"/>
      </w:pPr>
      <w:r>
        <w:rPr>
          <w:rFonts w:ascii="Times New Roman" w:cs="Times New Roman" w:eastAsia="Times New Roman" w:hAnsi="Times New Roman"/>
          <w:color w:val="1F2937"/>
          <w:sz w:val="22"/>
          <w:szCs w:val="22"/>
        </w:rPr>
        <w:t xml:space="preserve">Nommer et distinguer les 4 grandes classes d'actifs (monétaire, obligations, actions, immobilier) et leurs caractéristiques essentielles.</w:t>
      </w:r>
    </w:p>
    <w:p>
      <w:pPr>
        <w:pStyle w:val="ListParagraph"/>
        <w:numPr>
          <w:ilvl w:val="0"/>
          <w:numId w:val="1"/>
        </w:numPr>
        <w:spacing w:after="80"/>
      </w:pPr>
      <w:r>
        <w:rPr>
          <w:rFonts w:ascii="Times New Roman" w:cs="Times New Roman" w:eastAsia="Times New Roman" w:hAnsi="Times New Roman"/>
          <w:color w:val="1F2937"/>
          <w:sz w:val="22"/>
          <w:szCs w:val="22"/>
        </w:rPr>
        <w:t xml:space="preserve">Associer chaque classe à un niveau de risque, un horizon de placement et un profil de liquidité.</w:t>
      </w:r>
    </w:p>
    <w:p>
      <w:pPr>
        <w:pStyle w:val="ListParagraph"/>
        <w:numPr>
          <w:ilvl w:val="0"/>
          <w:numId w:val="1"/>
        </w:numPr>
        <w:spacing w:after="80"/>
      </w:pPr>
      <w:r>
        <w:rPr>
          <w:rFonts w:ascii="Times New Roman" w:cs="Times New Roman" w:eastAsia="Times New Roman" w:hAnsi="Times New Roman"/>
          <w:color w:val="1F2937"/>
          <w:sz w:val="22"/>
          <w:szCs w:val="22"/>
        </w:rPr>
        <w:t xml:space="preserve">Comprendre pourquoi l'horizon de 7–8 ans conditionne le choix des classes (notion abordée en L1).</w:t>
      </w:r>
    </w:p>
    <w:p>
      <w:r>
        <w:t xml:space="preserve"/>
      </w:r>
    </w:p>
    <w:p>
      <w:pPr>
        <w:spacing w:after="120"/>
      </w:pPr>
      <w:r>
        <w:rPr>
          <w:rFonts w:ascii="Times New Roman" w:cs="Times New Roman" w:eastAsia="Times New Roman" w:hAnsi="Times New Roman"/>
          <w:color w:val="1F2937"/>
          <w:sz w:val="22"/>
          <w:szCs w:val="22"/>
        </w:rPr>
        <w:t xml:space="preserve">🔗 Continuité avec L1 (horizon &amp; profil de risque) et L2 (couple rendement/risque, diversification) : les classes d'actifs sont les briques concrètes sur lesquelles s'appliquent ces principes. La L4 complétera avec les intérêts composés et l'inflation.</w:t>
      </w:r>
    </w:p>
    <w:p>
      <w:r>
        <w:t xml:space="preserve"/>
      </w:r>
    </w:p>
    <w:p>
      <w:pPr>
        <w:shd w:fill="EEF2F7" w:val="clear"/>
        <w:spacing w:after="120" w:before="120"/>
        <w:ind w:left="360" w:right="360"/>
      </w:pPr>
      <w:r>
        <w:rPr>
          <w:rFonts w:ascii="Times New Roman" w:cs="Times New Roman" w:eastAsia="Times New Roman" w:hAnsi="Times New Roman"/>
          <w:color w:val="1F2937"/>
          <w:sz w:val="22"/>
          <w:szCs w:val="22"/>
        </w:rPr>
        <w:t xml:space="preserve">⚖️ Rappel déontologique — Cette leçon relève de l'éducation financière générale. Elle ne constitue pas un conseil en investissement personnalisé. Tout placement comporte un RISQUE DE PERTE EN CAPITAL. Pour toute décision, consulte un conseiller en gestion de patrimoine (CGP) ou un CIF agréé par l'AMF.</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Théorie (20 %) — Les 4 grandes classes d'actifs</w:t>
      </w:r>
    </w:p>
    <w:p>
      <w:pPr>
        <w:pStyle w:val="Heading3"/>
        <w:spacing w:after="80" w:before="200"/>
      </w:pPr>
      <w:r>
        <w:rPr>
          <w:rFonts w:ascii="Times New Roman" w:cs="Times New Roman" w:eastAsia="Times New Roman" w:hAnsi="Times New Roman"/>
          <w:b/>
          <w:bCs/>
          <w:color w:val="1F2937"/>
          <w:sz w:val="26"/>
          <w:szCs w:val="26"/>
        </w:rPr>
        <w:t xml:space="preserve">Qu'est-ce qu'une classe d'actifs ?</w:t>
      </w:r>
    </w:p>
    <w:p>
      <w:pPr>
        <w:spacing w:after="120"/>
      </w:pPr>
      <w:r>
        <w:rPr>
          <w:rFonts w:ascii="Times New Roman" w:cs="Times New Roman" w:eastAsia="Times New Roman" w:hAnsi="Times New Roman"/>
          <w:color w:val="1F2937"/>
          <w:sz w:val="22"/>
          <w:szCs w:val="22"/>
        </w:rPr>
        <w:t xml:space="preserve">Une classe d'actifs est un ensemble de supports d'investissement partageant des caractéristiques similaires : comportement face au marché, niveau de risque, horizon de placement, et fiscalité. La Finance pour Tous définit ainsi les principales classes : argent liquide, obligations, actions, immobilier (et en complément : matières premières, produits dérivés).</w:t>
      </w:r>
    </w:p>
    <w:p>
      <w:pPr>
        <w:spacing w:after="120"/>
      </w:pPr>
      <w:r>
        <w:rPr>
          <w:rFonts w:ascii="Times New Roman" w:cs="Times New Roman" w:eastAsia="Times New Roman" w:hAnsi="Times New Roman"/>
          <w:color w:val="1F2937"/>
          <w:sz w:val="22"/>
          <w:szCs w:val="22"/>
        </w:rPr>
        <w:t xml:space="preserve">Le principe fondateur (vu en L2) reste central : à chaque classe, son couple rendement/risque. Plus une classe offre un rendement potentiellement élevé, plus elle expose à un risque de perte.</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1. Le monétaire — la base de toute stratégie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c'est : </w:t>
      </w:r>
      <w:r>
        <w:rPr>
          <w:rFonts w:ascii="Times New Roman" w:cs="Times New Roman" w:eastAsia="Times New Roman" w:hAnsi="Times New Roman"/>
          <w:color w:val="1F2937"/>
          <w:sz w:val="22"/>
          <w:szCs w:val="22"/>
        </w:rPr>
        <w:t xml:space="preserve">Placements à très court terme, à capital quasi certain : Livret A (taux réglementé actuellement à 2,4 % en 2026), livret de développement durable (LDDS), comptes à terme, fonds monétaires.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Risque : </w:t>
      </w:r>
      <w:r>
        <w:rPr>
          <w:rFonts w:ascii="Times New Roman" w:cs="Times New Roman" w:eastAsia="Times New Roman" w:hAnsi="Times New Roman"/>
          <w:color w:val="1F2937"/>
          <w:sz w:val="22"/>
          <w:szCs w:val="22"/>
        </w:rPr>
        <w:t xml:space="preserve">Très faible. Le capital est préservé. Le risque principal est l'érosion par l'inflation si le taux servi est inférieur à elle.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Rendement attendu : </w:t>
      </w:r>
      <w:r>
        <w:rPr>
          <w:rFonts w:ascii="Times New Roman" w:cs="Times New Roman" w:eastAsia="Times New Roman" w:hAnsi="Times New Roman"/>
          <w:color w:val="1F2937"/>
          <w:sz w:val="22"/>
          <w:szCs w:val="22"/>
        </w:rPr>
        <w:t xml:space="preserve">Faible (souvent proche ou inférieur à l'inflation). En 2025, le Livret A à 3 % battait légèrement l'inflation ; ce n'est pas toujours le cas.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Horizon : </w:t>
      </w:r>
      <w:r>
        <w:rPr>
          <w:rFonts w:ascii="Times New Roman" w:cs="Times New Roman" w:eastAsia="Times New Roman" w:hAnsi="Times New Roman"/>
          <w:color w:val="1F2937"/>
          <w:sz w:val="22"/>
          <w:szCs w:val="22"/>
        </w:rPr>
        <w:t xml:space="preserve">Court terme (&lt; 2 ans), ou épargne de précaution (3 à 6 mois de charges courantes).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Liquidité : </w:t>
      </w:r>
      <w:r>
        <w:rPr>
          <w:rFonts w:ascii="Times New Roman" w:cs="Times New Roman" w:eastAsia="Times New Roman" w:hAnsi="Times New Roman"/>
          <w:color w:val="1F2937"/>
          <w:sz w:val="22"/>
          <w:szCs w:val="22"/>
        </w:rPr>
        <w:t xml:space="preserve">Quasi immédiate (retrait sous 24–72 h pour les livrets réglementés).</w:t>
      </w:r>
    </w:p>
    <w:p>
      <w:pPr>
        <w:spacing w:after="120"/>
        <w:ind w:left="720"/>
      </w:pPr>
      <w:r>
        <w:rPr>
          <w:rFonts w:ascii="Times New Roman" w:cs="Times New Roman" w:eastAsia="Times New Roman" w:hAnsi="Times New Roman"/>
          <w:i/>
          <w:iCs/>
          <w:color w:val="1B3A6B"/>
          <w:sz w:val="22"/>
          <w:szCs w:val="22"/>
        </w:rPr>
        <w:t xml:space="preserve">Le monétaire n'est pas un placement de croissance : c'est le socle de sécurité avant tout investissement.</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2. Les obligations — entre sécurité et rendement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c'est : </w:t>
      </w:r>
      <w:r>
        <w:rPr>
          <w:rFonts w:ascii="Times New Roman" w:cs="Times New Roman" w:eastAsia="Times New Roman" w:hAnsi="Times New Roman"/>
          <w:color w:val="1F2937"/>
          <w:sz w:val="22"/>
          <w:szCs w:val="22"/>
        </w:rPr>
        <w:t xml:space="preserve">Une obligation est un titre de créance émis par un État (ex : OAT française) ou une entreprise pour emprunter de l'argent. En achetant une obligation, tu deviens créancier : tu perçois un coupon (intérêt) périodique, et le capital est remboursé à l'échéance.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Risque : </w:t>
      </w:r>
      <w:r>
        <w:rPr>
          <w:rFonts w:ascii="Times New Roman" w:cs="Times New Roman" w:eastAsia="Times New Roman" w:hAnsi="Times New Roman"/>
          <w:color w:val="1F2937"/>
          <w:sz w:val="22"/>
          <w:szCs w:val="22"/>
        </w:rPr>
        <w:t xml:space="preserve">Modéré. Deux risques principaux : le risque de taux (si les taux montent, la valeur de marché de l'obligation baisse) et le risque de crédit (si l'émetteur fait défaut). Les obligations d'État des pays solides (France, Allemagne) sont moins risquées que les obligations d'entreprises.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Rendement attendu : </w:t>
      </w:r>
      <w:r>
        <w:rPr>
          <w:rFonts w:ascii="Times New Roman" w:cs="Times New Roman" w:eastAsia="Times New Roman" w:hAnsi="Times New Roman"/>
          <w:color w:val="1F2937"/>
          <w:sz w:val="22"/>
          <w:szCs w:val="22"/>
        </w:rPr>
        <w:t xml:space="preserve">Modéré. Supérieur au monétaire sur le moyen terme, inférieur aux actions sur le long terme.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Horizon : </w:t>
      </w:r>
      <w:r>
        <w:rPr>
          <w:rFonts w:ascii="Times New Roman" w:cs="Times New Roman" w:eastAsia="Times New Roman" w:hAnsi="Times New Roman"/>
          <w:color w:val="1F2937"/>
          <w:sz w:val="22"/>
          <w:szCs w:val="22"/>
        </w:rPr>
        <w:t xml:space="preserve">Moyen terme (3–5 ans minimum). Si tu vends avant l'échéance, la valeur peut fluctuer selon l'évolution des taux.</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Liquidité : </w:t>
      </w:r>
      <w:r>
        <w:rPr>
          <w:rFonts w:ascii="Times New Roman" w:cs="Times New Roman" w:eastAsia="Times New Roman" w:hAnsi="Times New Roman"/>
          <w:color w:val="1F2937"/>
          <w:sz w:val="22"/>
          <w:szCs w:val="22"/>
        </w:rPr>
        <w:t xml:space="preserve">Bonne sur les marchés secondaires pour les grandes émissions ; plus limitée pour certaines obligations d'entreprises.</w:t>
      </w:r>
    </w:p>
    <w:p>
      <w:pPr>
        <w:spacing w:after="120"/>
        <w:ind w:left="720"/>
      </w:pPr>
      <w:r>
        <w:rPr>
          <w:rFonts w:ascii="Times New Roman" w:cs="Times New Roman" w:eastAsia="Times New Roman" w:hAnsi="Times New Roman"/>
          <w:i/>
          <w:iCs/>
          <w:color w:val="1B3A6B"/>
          <w:sz w:val="22"/>
          <w:szCs w:val="22"/>
        </w:rPr>
        <w:t xml:space="preserve">La Finance pour Tous écrit, à la page intitulée Les obligations : est-ce un produit pour moi ? — « Les obligations sont un placement peu risqué si vous le gardez jusqu'à maturité c'est-à-dire jusqu'au remboursement du capital par l'emprunteur » et « Elles sont généralement recommandées aux personnes qui recherchent des revenus réguliers et sûrs, avec un horizon de cinq ans et plus. »</w:t>
      </w:r>
      <w:r>
        <w:rPr>
          <w:rFonts w:ascii="Times New Roman" w:cs="Times New Roman" w:eastAsia="Times New Roman" w:hAnsi="Times New Roman"/>
          <w:i/>
          <w:iCs/>
          <w:color w:val="6B7280"/>
          <w:sz w:val="20"/>
          <w:szCs w:val="20"/>
        </w:rPr>
        <w:t xml:space="preserve"> [Corrigé le 26/09/2026 : la leçon écrivait : « Selon La Finance pour Tous : Les obligations constituent un investissement de moyen et long terme » Les deux pages obligations listées ont été rouvertes le 26/09/2026 : « moyen et long terme » et « revenu régulier » y comptent ZÉRO occurrence chacun. La phrase était une reformulation sous guillemets. Ce que la page dit vraiment est plus précis — « un horizon de cinq ans et plus » au lieu d'un moyen et long terme, et « des revenus réguliers ET SÛRS » — et les deux citations ci-dessus en sont tirées mot pour mot. La suite de la phrase, sur le risque limité en cas de détention jusqu'à l'échéance, est confirmée par la première.]</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3. Les actions — moteur de la croissance long terme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c'est : </w:t>
      </w:r>
      <w:r>
        <w:rPr>
          <w:rFonts w:ascii="Times New Roman" w:cs="Times New Roman" w:eastAsia="Times New Roman" w:hAnsi="Times New Roman"/>
          <w:color w:val="1F2937"/>
          <w:sz w:val="22"/>
          <w:szCs w:val="22"/>
        </w:rPr>
        <w:t xml:space="preserve">Une action représente une fraction du capital d'une entreprise. En achetant une action, tu deviens actionnaire : tu participeras aux bénéfices (dividendes) et à la valorisation (plus-value ou moins-value à la revente).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Risque : </w:t>
      </w:r>
      <w:r>
        <w:rPr>
          <w:rFonts w:ascii="Times New Roman" w:cs="Times New Roman" w:eastAsia="Times New Roman" w:hAnsi="Times New Roman"/>
          <w:color w:val="1F2937"/>
          <w:sz w:val="22"/>
          <w:szCs w:val="22"/>
        </w:rPr>
        <w:t xml:space="preserve">Élevé. La valeur d'une action peut fluctuer fortement (volatilité), et peut tomber à zéro en cas de faillite de l'entreprise. C'est le risque de perte totale.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Rendement attendu : </w:t>
      </w:r>
      <w:r>
        <w:rPr>
          <w:rFonts w:ascii="Times New Roman" w:cs="Times New Roman" w:eastAsia="Times New Roman" w:hAnsi="Times New Roman"/>
          <w:color w:val="1F2937"/>
          <w:sz w:val="22"/>
          <w:szCs w:val="22"/>
        </w:rPr>
        <w:t xml:space="preserve">Potentiellement élevé sur le long terme. Les indices boursiers (CAC 40, MSCI World) affichent historiquement des rendements annualisés de l'ordre de 5–8 % sur des périodes de 10 ans+, mais avec de fortes variations d'une année à l'autre. RAPPEL : les performances passées ne préjugent pas des performances futures.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Horizon : </w:t>
      </w:r>
      <w:r>
        <w:rPr>
          <w:rFonts w:ascii="Times New Roman" w:cs="Times New Roman" w:eastAsia="Times New Roman" w:hAnsi="Times New Roman"/>
          <w:color w:val="1F2937"/>
          <w:sz w:val="22"/>
          <w:szCs w:val="22"/>
        </w:rPr>
        <w:t xml:space="preserve">Long terme (5–10 ans minimum). Sur le court terme, la bourse peut perdre 20 à 50 % de sa valeur en quelques mois (ex : crises 2000, 2008, 2020). Le temps amorti la volatilité.</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Liquidité : </w:t>
      </w:r>
      <w:r>
        <w:rPr>
          <w:rFonts w:ascii="Times New Roman" w:cs="Times New Roman" w:eastAsia="Times New Roman" w:hAnsi="Times New Roman"/>
          <w:color w:val="1F2937"/>
          <w:sz w:val="22"/>
          <w:szCs w:val="22"/>
        </w:rPr>
        <w:t xml:space="preserve">Bonne pour les actions cotées sur des marchés réglementés (vente en quelques secondes). Nulle pour les actions d'entreprises non cotées.</w:t>
      </w:r>
    </w:p>
    <w:p>
      <w:pPr>
        <w:spacing w:after="120"/>
        <w:ind w:left="720"/>
      </w:pPr>
      <w:r>
        <w:rPr>
          <w:rFonts w:ascii="Times New Roman" w:cs="Times New Roman" w:eastAsia="Times New Roman" w:hAnsi="Times New Roman"/>
          <w:i/>
          <w:iCs/>
          <w:color w:val="1B3A6B"/>
          <w:sz w:val="22"/>
          <w:szCs w:val="22"/>
        </w:rPr>
        <w:t xml:space="preserve">La Finance pour Tous souligne qu'investir en actions requiert « une épargne préalable solide » et « du temps » — deux conditions nécessaires avant d'y engager des fonds.</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4. L'immobilier — tangibilité et illiquidité</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c'est : </w:t>
      </w:r>
      <w:r>
        <w:rPr>
          <w:rFonts w:ascii="Times New Roman" w:cs="Times New Roman" w:eastAsia="Times New Roman" w:hAnsi="Times New Roman"/>
          <w:color w:val="1F2937"/>
          <w:sz w:val="22"/>
          <w:szCs w:val="22"/>
        </w:rPr>
        <w:t xml:space="preserve">Deux formes : l'immobilier physique (achat direct d'un bien locatif) et la « pierre-papier » (SCPI, OPCI) qui permet d'investir indirectement dans un patrimoine immobilier géré par des professionnels, avec des mises de départ plus faibles.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Risque : </w:t>
      </w:r>
      <w:r>
        <w:rPr>
          <w:rFonts w:ascii="Times New Roman" w:cs="Times New Roman" w:eastAsia="Times New Roman" w:hAnsi="Times New Roman"/>
          <w:color w:val="1F2937"/>
          <w:sz w:val="22"/>
          <w:szCs w:val="22"/>
        </w:rPr>
        <w:t xml:space="preserve">Moyen. Risques spécifiques : vacance locative, baisse des prix immobiliers, travaux imprévus, concentration géographique. Les SCPI ajoutent un risque de marché secondaire et de liquidité.</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Rendement attendu : </w:t>
      </w:r>
      <w:r>
        <w:rPr>
          <w:rFonts w:ascii="Times New Roman" w:cs="Times New Roman" w:eastAsia="Times New Roman" w:hAnsi="Times New Roman"/>
          <w:color w:val="1F2937"/>
          <w:sz w:val="22"/>
          <w:szCs w:val="22"/>
        </w:rPr>
        <w:t xml:space="preserve">Moyen à modérément élevé (rendements locatifs bruts SCPI : 4–6 % selon les années, mais variables et non garantis). Les frais d'entrée sont élevés (voir L9).</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Horizon : </w:t>
      </w:r>
      <w:r>
        <w:rPr>
          <w:rFonts w:ascii="Times New Roman" w:cs="Times New Roman" w:eastAsia="Times New Roman" w:hAnsi="Times New Roman"/>
          <w:color w:val="1F2937"/>
          <w:sz w:val="22"/>
          <w:szCs w:val="22"/>
        </w:rPr>
        <w:t xml:space="preserve">Long terme (8–10 ans minimum) pour amortir les frais d'acquisition et les cycles immobiliers.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Liquidité : </w:t>
      </w:r>
      <w:r>
        <w:rPr>
          <w:rFonts w:ascii="Times New Roman" w:cs="Times New Roman" w:eastAsia="Times New Roman" w:hAnsi="Times New Roman"/>
          <w:color w:val="1F2937"/>
          <w:sz w:val="22"/>
          <w:szCs w:val="22"/>
        </w:rPr>
        <w:t xml:space="preserve">Faible pour l'immobilier physique (vente en plusieurs mois). Partielle pour les SCPI (marché secondaire, délais variables).</w:t>
      </w:r>
    </w:p>
    <w:p>
      <w:pPr>
        <w:spacing w:after="120"/>
        <w:ind w:left="720"/>
      </w:pPr>
      <w:r>
        <w:rPr>
          <w:rFonts w:ascii="Times New Roman" w:cs="Times New Roman" w:eastAsia="Times New Roman" w:hAnsi="Times New Roman"/>
          <w:i/>
          <w:iCs/>
          <w:color w:val="1B3A6B"/>
          <w:sz w:val="22"/>
          <w:szCs w:val="22"/>
        </w:rPr>
        <w:t xml:space="preserve">L'immobilier a l'avantage psychologique de la tangibilité (« je possède quelque chose »), mais son illiquidité est une contrainte majeure sur un horizon de 7–8 ans.</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Tableau synthétique des 4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Classe</w:t>
            </w:r>
          </w:p>
        </w:tc>
        <w:tc>
          <w:tcPr>
            <w:shd w:fill="1B3A6B" w:val="clear"/>
          </w:tcPr>
          <w:p>
            <w:pPr>
              <w:jc w:val="center"/>
            </w:pPr>
            <w:r>
              <w:rPr>
                <w:rFonts w:ascii="Times New Roman" w:cs="Times New Roman" w:eastAsia="Times New Roman" w:hAnsi="Times New Roman"/>
                <w:b/>
                <w:bCs/>
                <w:color w:val="FFFFFF"/>
                <w:sz w:val="20"/>
                <w:szCs w:val="20"/>
              </w:rPr>
              <w:t xml:space="preserve">Exemples</w:t>
            </w:r>
          </w:p>
        </w:tc>
        <w:tc>
          <w:tcPr>
            <w:shd w:fill="1B3A6B" w:val="clear"/>
          </w:tcPr>
          <w:p>
            <w:pPr>
              <w:jc w:val="center"/>
            </w:pPr>
            <w:r>
              <w:rPr>
                <w:rFonts w:ascii="Times New Roman" w:cs="Times New Roman" w:eastAsia="Times New Roman" w:hAnsi="Times New Roman"/>
                <w:b/>
                <w:bCs/>
                <w:color w:val="FFFFFF"/>
                <w:sz w:val="20"/>
                <w:szCs w:val="20"/>
              </w:rPr>
              <w:t xml:space="preserve">Risque</w:t>
            </w:r>
          </w:p>
        </w:tc>
        <w:tc>
          <w:tcPr>
            <w:shd w:fill="1B3A6B" w:val="clear"/>
          </w:tcPr>
          <w:p>
            <w:pPr>
              <w:jc w:val="center"/>
            </w:pPr>
            <w:r>
              <w:rPr>
                <w:rFonts w:ascii="Times New Roman" w:cs="Times New Roman" w:eastAsia="Times New Roman" w:hAnsi="Times New Roman"/>
                <w:b/>
                <w:bCs/>
                <w:color w:val="FFFFFF"/>
                <w:sz w:val="20"/>
                <w:szCs w:val="20"/>
              </w:rPr>
              <w:t xml:space="preserve">Rendement attendu</w:t>
            </w:r>
          </w:p>
        </w:tc>
        <w:tc>
          <w:tcPr>
            <w:shd w:fill="1B3A6B" w:val="clear"/>
          </w:tcPr>
          <w:p>
            <w:pPr>
              <w:jc w:val="center"/>
            </w:pPr>
            <w:r>
              <w:rPr>
                <w:rFonts w:ascii="Times New Roman" w:cs="Times New Roman" w:eastAsia="Times New Roman" w:hAnsi="Times New Roman"/>
                <w:b/>
                <w:bCs/>
                <w:color w:val="FFFFFF"/>
                <w:sz w:val="20"/>
                <w:szCs w:val="20"/>
              </w:rPr>
              <w:t xml:space="preserve">Horizon minimal</w:t>
            </w:r>
          </w:p>
        </w:tc>
        <w:tc>
          <w:tcPr>
            <w:shd w:fill="1B3A6B" w:val="clear"/>
          </w:tcPr>
          <w:p>
            <w:pPr>
              <w:jc w:val="center"/>
            </w:pPr>
            <w:r>
              <w:rPr>
                <w:rFonts w:ascii="Times New Roman" w:cs="Times New Roman" w:eastAsia="Times New Roman" w:hAnsi="Times New Roman"/>
                <w:b/>
                <w:bCs/>
                <w:color w:val="FFFFFF"/>
                <w:sz w:val="20"/>
                <w:szCs w:val="20"/>
              </w:rPr>
              <w:t xml:space="preserve">Liquidité</w:t>
            </w:r>
          </w:p>
        </w:tc>
      </w:tr>
      <w:tr>
        <w:tc>
          <w:tcPr>
            <w:shd w:fill="EEF2F7" w:val="clear"/>
          </w:tcPr>
          <w:p>
            <w:r>
              <w:rPr>
                <w:rFonts w:ascii="Times New Roman" w:cs="Times New Roman" w:eastAsia="Times New Roman" w:hAnsi="Times New Roman"/>
                <w:color w:val="1F2937"/>
                <w:sz w:val="20"/>
                <w:szCs w:val="20"/>
              </w:rPr>
              <w:t xml:space="preserve">Monétaire</w:t>
            </w:r>
          </w:p>
        </w:tc>
        <w:tc>
          <w:tcPr>
            <w:shd w:fill="EEF2F7" w:val="clear"/>
          </w:tcPr>
          <w:p>
            <w:r>
              <w:rPr>
                <w:rFonts w:ascii="Times New Roman" w:cs="Times New Roman" w:eastAsia="Times New Roman" w:hAnsi="Times New Roman"/>
                <w:color w:val="1F2937"/>
                <w:sz w:val="20"/>
                <w:szCs w:val="20"/>
              </w:rPr>
              <w:t xml:space="preserve">Livret A, fonds monétaires, compte à terme</w:t>
            </w:r>
          </w:p>
        </w:tc>
        <w:tc>
          <w:tcPr>
            <w:shd w:fill="EEF2F7" w:val="clear"/>
          </w:tcPr>
          <w:p>
            <w:r>
              <w:rPr>
                <w:rFonts w:ascii="Times New Roman" w:cs="Times New Roman" w:eastAsia="Times New Roman" w:hAnsi="Times New Roman"/>
                <w:color w:val="1F2937"/>
                <w:sz w:val="20"/>
                <w:szCs w:val="20"/>
              </w:rPr>
              <w:t xml:space="preserve">Très faible</w:t>
            </w:r>
          </w:p>
        </w:tc>
        <w:tc>
          <w:tcPr>
            <w:shd w:fill="EEF2F7" w:val="clear"/>
          </w:tcPr>
          <w:p>
            <w:r>
              <w:rPr>
                <w:rFonts w:ascii="Times New Roman" w:cs="Times New Roman" w:eastAsia="Times New Roman" w:hAnsi="Times New Roman"/>
                <w:color w:val="1F2937"/>
                <w:sz w:val="20"/>
                <w:szCs w:val="20"/>
              </w:rPr>
              <w:t xml:space="preserve">Faible (proche inflation)</w:t>
            </w:r>
          </w:p>
        </w:tc>
        <w:tc>
          <w:tcPr>
            <w:shd w:fill="EEF2F7" w:val="clear"/>
          </w:tcPr>
          <w:p>
            <w:r>
              <w:rPr>
                <w:rFonts w:ascii="Times New Roman" w:cs="Times New Roman" w:eastAsia="Times New Roman" w:hAnsi="Times New Roman"/>
                <w:color w:val="1F2937"/>
                <w:sz w:val="20"/>
                <w:szCs w:val="20"/>
              </w:rPr>
              <w:t xml:space="preserve">Court terme (&lt; 2 ans)</w:t>
            </w:r>
          </w:p>
        </w:tc>
        <w:tc>
          <w:tcPr>
            <w:shd w:fill="EEF2F7" w:val="clear"/>
          </w:tcPr>
          <w:p>
            <w:r>
              <w:rPr>
                <w:rFonts w:ascii="Times New Roman" w:cs="Times New Roman" w:eastAsia="Times New Roman" w:hAnsi="Times New Roman"/>
                <w:color w:val="1F2937"/>
                <w:sz w:val="20"/>
                <w:szCs w:val="20"/>
              </w:rPr>
              <w:t xml:space="preserve">Immédiate</w:t>
            </w:r>
          </w:p>
        </w:tc>
      </w:tr>
      <w:tr>
        <w:tc>
          <w:tcPr>
            <w:shd w:fill="FFFFFF" w:val="clear"/>
          </w:tcPr>
          <w:p>
            <w:r>
              <w:rPr>
                <w:rFonts w:ascii="Times New Roman" w:cs="Times New Roman" w:eastAsia="Times New Roman" w:hAnsi="Times New Roman"/>
                <w:color w:val="1F2937"/>
                <w:sz w:val="20"/>
                <w:szCs w:val="20"/>
              </w:rPr>
              <w:t xml:space="preserve">Obligations</w:t>
            </w:r>
          </w:p>
        </w:tc>
        <w:tc>
          <w:tcPr>
            <w:shd w:fill="FFFFFF" w:val="clear"/>
          </w:tcPr>
          <w:p>
            <w:r>
              <w:rPr>
                <w:rFonts w:ascii="Times New Roman" w:cs="Times New Roman" w:eastAsia="Times New Roman" w:hAnsi="Times New Roman"/>
                <w:color w:val="1F2937"/>
                <w:sz w:val="20"/>
                <w:szCs w:val="20"/>
              </w:rPr>
              <w:t xml:space="preserve">Obligations d'État (OAT), obligations d'entreprises</w:t>
            </w:r>
          </w:p>
        </w:tc>
        <w:tc>
          <w:tcPr>
            <w:shd w:fill="FFFFFF" w:val="clear"/>
          </w:tcPr>
          <w:p>
            <w:r>
              <w:rPr>
                <w:rFonts w:ascii="Times New Roman" w:cs="Times New Roman" w:eastAsia="Times New Roman" w:hAnsi="Times New Roman"/>
                <w:color w:val="1F2937"/>
                <w:sz w:val="20"/>
                <w:szCs w:val="20"/>
              </w:rPr>
              <w:t xml:space="preserve">Faible à modéré</w:t>
            </w:r>
          </w:p>
        </w:tc>
        <w:tc>
          <w:tcPr>
            <w:shd w:fill="FFFFFF" w:val="clear"/>
          </w:tcPr>
          <w:p>
            <w:r>
              <w:rPr>
                <w:rFonts w:ascii="Times New Roman" w:cs="Times New Roman" w:eastAsia="Times New Roman" w:hAnsi="Times New Roman"/>
                <w:color w:val="1F2937"/>
                <w:sz w:val="20"/>
                <w:szCs w:val="20"/>
              </w:rPr>
              <w:t xml:space="preserve">Modéré (&gt; inflation légèrement)</w:t>
            </w:r>
          </w:p>
        </w:tc>
        <w:tc>
          <w:tcPr>
            <w:shd w:fill="FFFFFF" w:val="clear"/>
          </w:tcPr>
          <w:p>
            <w:r>
              <w:rPr>
                <w:rFonts w:ascii="Times New Roman" w:cs="Times New Roman" w:eastAsia="Times New Roman" w:hAnsi="Times New Roman"/>
                <w:color w:val="1F2937"/>
                <w:sz w:val="20"/>
                <w:szCs w:val="20"/>
              </w:rPr>
              <w:t xml:space="preserve">Moyen terme (3–5 ans)</w:t>
            </w:r>
          </w:p>
        </w:tc>
        <w:tc>
          <w:tcPr>
            <w:shd w:fill="FFFFFF" w:val="clear"/>
          </w:tcPr>
          <w:p>
            <w:r>
              <w:rPr>
                <w:rFonts w:ascii="Times New Roman" w:cs="Times New Roman" w:eastAsia="Times New Roman" w:hAnsi="Times New Roman"/>
                <w:color w:val="1F2937"/>
                <w:sz w:val="20"/>
                <w:szCs w:val="20"/>
              </w:rPr>
              <w:t xml:space="preserve">Bonne (marché secondaire)</w:t>
            </w:r>
          </w:p>
        </w:tc>
      </w:tr>
      <w:tr>
        <w:tc>
          <w:tcPr>
            <w:shd w:fill="EEF2F7" w:val="clear"/>
          </w:tcPr>
          <w:p>
            <w:r>
              <w:rPr>
                <w:rFonts w:ascii="Times New Roman" w:cs="Times New Roman" w:eastAsia="Times New Roman" w:hAnsi="Times New Roman"/>
                <w:color w:val="1F2937"/>
                <w:sz w:val="20"/>
                <w:szCs w:val="20"/>
              </w:rPr>
              <w:t xml:space="preserve">Actions</w:t>
            </w:r>
          </w:p>
        </w:tc>
        <w:tc>
          <w:tcPr>
            <w:shd w:fill="EEF2F7" w:val="clear"/>
          </w:tcPr>
          <w:p>
            <w:r>
              <w:rPr>
                <w:rFonts w:ascii="Times New Roman" w:cs="Times New Roman" w:eastAsia="Times New Roman" w:hAnsi="Times New Roman"/>
                <w:color w:val="1F2937"/>
                <w:sz w:val="20"/>
                <w:szCs w:val="20"/>
              </w:rPr>
              <w:t xml:space="preserve">Actions cotées, ETF actions, fonds actions</w:t>
            </w:r>
          </w:p>
        </w:tc>
        <w:tc>
          <w:tcPr>
            <w:shd w:fill="EEF2F7" w:val="clear"/>
          </w:tcPr>
          <w:p>
            <w:r>
              <w:rPr>
                <w:rFonts w:ascii="Times New Roman" w:cs="Times New Roman" w:eastAsia="Times New Roman" w:hAnsi="Times New Roman"/>
                <w:color w:val="1F2937"/>
                <w:sz w:val="20"/>
                <w:szCs w:val="20"/>
              </w:rPr>
              <w:t xml:space="preserve">Élevé (perte totale possible)</w:t>
            </w:r>
          </w:p>
        </w:tc>
        <w:tc>
          <w:tcPr>
            <w:shd w:fill="EEF2F7" w:val="clear"/>
          </w:tcPr>
          <w:p>
            <w:r>
              <w:rPr>
                <w:rFonts w:ascii="Times New Roman" w:cs="Times New Roman" w:eastAsia="Times New Roman" w:hAnsi="Times New Roman"/>
                <w:color w:val="1F2937"/>
                <w:sz w:val="20"/>
                <w:szCs w:val="20"/>
              </w:rPr>
              <w:t xml:space="preserve">Potentiellement élevé (historique 5–7 %/an)</w:t>
            </w:r>
          </w:p>
        </w:tc>
        <w:tc>
          <w:tcPr>
            <w:shd w:fill="EEF2F7" w:val="clear"/>
          </w:tcPr>
          <w:p>
            <w:r>
              <w:rPr>
                <w:rFonts w:ascii="Times New Roman" w:cs="Times New Roman" w:eastAsia="Times New Roman" w:hAnsi="Times New Roman"/>
                <w:color w:val="1F2937"/>
                <w:sz w:val="20"/>
                <w:szCs w:val="20"/>
              </w:rPr>
              <w:t xml:space="preserve">Long terme (5–10 ans+)</w:t>
            </w:r>
          </w:p>
        </w:tc>
        <w:tc>
          <w:tcPr>
            <w:shd w:fill="EEF2F7" w:val="clear"/>
          </w:tcPr>
          <w:p>
            <w:r>
              <w:rPr>
                <w:rFonts w:ascii="Times New Roman" w:cs="Times New Roman" w:eastAsia="Times New Roman" w:hAnsi="Times New Roman"/>
                <w:color w:val="1F2937"/>
                <w:sz w:val="20"/>
                <w:szCs w:val="20"/>
              </w:rPr>
              <w:t xml:space="preserve">Bonne (marchés réglementés)</w:t>
            </w:r>
          </w:p>
        </w:tc>
      </w:tr>
      <w:tr>
        <w:tc>
          <w:tcPr>
            <w:shd w:fill="FFFFFF" w:val="clear"/>
          </w:tcPr>
          <w:p>
            <w:r>
              <w:rPr>
                <w:rFonts w:ascii="Times New Roman" w:cs="Times New Roman" w:eastAsia="Times New Roman" w:hAnsi="Times New Roman"/>
                <w:color w:val="1F2937"/>
                <w:sz w:val="20"/>
                <w:szCs w:val="20"/>
              </w:rPr>
              <w:t xml:space="preserve">Immobilier</w:t>
            </w:r>
          </w:p>
        </w:tc>
        <w:tc>
          <w:tcPr>
            <w:shd w:fill="FFFFFF" w:val="clear"/>
          </w:tcPr>
          <w:p>
            <w:r>
              <w:rPr>
                <w:rFonts w:ascii="Times New Roman" w:cs="Times New Roman" w:eastAsia="Times New Roman" w:hAnsi="Times New Roman"/>
                <w:color w:val="1F2937"/>
                <w:sz w:val="20"/>
                <w:szCs w:val="20"/>
              </w:rPr>
              <w:t xml:space="preserve">Immobilier physique, SCPI, OPCI</w:t>
            </w:r>
          </w:p>
        </w:tc>
        <w:tc>
          <w:tcPr>
            <w:shd w:fill="FFFFFF" w:val="clear"/>
          </w:tcPr>
          <w:p>
            <w:r>
              <w:rPr>
                <w:rFonts w:ascii="Times New Roman" w:cs="Times New Roman" w:eastAsia="Times New Roman" w:hAnsi="Times New Roman"/>
                <w:color w:val="1F2937"/>
                <w:sz w:val="20"/>
                <w:szCs w:val="20"/>
              </w:rPr>
              <w:t xml:space="preserve">Moyen (marchés locaux, liquidité limitée)</w:t>
            </w:r>
          </w:p>
        </w:tc>
        <w:tc>
          <w:tcPr>
            <w:shd w:fill="FFFFFF" w:val="clear"/>
          </w:tcPr>
          <w:p>
            <w:r>
              <w:rPr>
                <w:rFonts w:ascii="Times New Roman" w:cs="Times New Roman" w:eastAsia="Times New Roman" w:hAnsi="Times New Roman"/>
                <w:color w:val="1F2937"/>
                <w:sz w:val="20"/>
                <w:szCs w:val="20"/>
              </w:rPr>
              <w:t xml:space="preserve">Moyen à modérément élevé</w:t>
            </w:r>
          </w:p>
        </w:tc>
        <w:tc>
          <w:tcPr>
            <w:shd w:fill="FFFFFF" w:val="clear"/>
          </w:tcPr>
          <w:p>
            <w:r>
              <w:rPr>
                <w:rFonts w:ascii="Times New Roman" w:cs="Times New Roman" w:eastAsia="Times New Roman" w:hAnsi="Times New Roman"/>
                <w:color w:val="1F2937"/>
                <w:sz w:val="20"/>
                <w:szCs w:val="20"/>
              </w:rPr>
              <w:t xml:space="preserve">Long terme (8–10 ans+)</w:t>
            </w:r>
          </w:p>
        </w:tc>
        <w:tc>
          <w:tcPr>
            <w:shd w:fill="FFFFFF" w:val="clear"/>
          </w:tcPr>
          <w:p>
            <w:r>
              <w:rPr>
                <w:rFonts w:ascii="Times New Roman" w:cs="Times New Roman" w:eastAsia="Times New Roman" w:hAnsi="Times New Roman"/>
                <w:color w:val="1F2937"/>
                <w:sz w:val="20"/>
                <w:szCs w:val="20"/>
              </w:rPr>
              <w:t xml:space="preserve">Faible (immobilier physique) à moyenne (SCPI)</w:t>
            </w:r>
          </w:p>
        </w:tc>
      </w:tr>
    </w:tbl>
    <w:p>
      <w:r>
        <w:t xml:space="preserve"/>
      </w:r>
    </w:p>
    <w:p>
      <w:pPr>
        <w:spacing w:after="120"/>
      </w:pPr>
      <w:r>
        <w:rPr>
          <w:rFonts w:ascii="Times New Roman" w:cs="Times New Roman" w:eastAsia="Times New Roman" w:hAnsi="Times New Roman"/>
          <w:color w:val="1F2937"/>
          <w:sz w:val="22"/>
          <w:szCs w:val="22"/>
        </w:rPr>
        <w:t xml:space="preserve">⚠️ Ce tableau est indicatif et à titre pédagogique. Les rendements passés ne garantissent pas les rendements futurs. Risque de perte en capital sur toutes les classes sauf le monétaire réglementé.</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Pratique (80 %) — 3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Associer horizon et classe d'actifs</w:t>
      </w:r>
    </w:p>
    <w:p>
      <w:pPr>
        <w:spacing w:after="120"/>
      </w:pPr>
      <w:r>
        <w:rPr>
          <w:rFonts w:ascii="Times New Roman" w:cs="Times New Roman" w:eastAsia="Times New Roman" w:hAnsi="Times New Roman"/>
          <w:color w:val="1F2937"/>
          <w:sz w:val="22"/>
          <w:szCs w:val="22"/>
        </w:rPr>
        <w:t xml:space="preserve">Complète le tableau suivant en indiquant quelle(s) classe(s) d'actifs seraient logiquement pertinentes pour chaque situation (sans recommandation personnalisée — c'est un exercice de compréhension des mécanismes).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Situation</w:t>
            </w:r>
          </w:p>
        </w:tc>
        <w:tc>
          <w:tcPr>
            <w:shd w:fill="1B3A6B" w:val="clear"/>
          </w:tcPr>
          <w:p>
            <w:pPr>
              <w:jc w:val="center"/>
            </w:pPr>
            <w:r>
              <w:rPr>
                <w:rFonts w:ascii="Times New Roman" w:cs="Times New Roman" w:eastAsia="Times New Roman" w:hAnsi="Times New Roman"/>
                <w:b/>
                <w:bCs/>
                <w:color w:val="FFFFFF"/>
                <w:sz w:val="20"/>
                <w:szCs w:val="20"/>
              </w:rPr>
              <w:t xml:space="preserve">Horizon</w:t>
            </w:r>
          </w:p>
        </w:tc>
        <w:tc>
          <w:tcPr>
            <w:shd w:fill="1B3A6B" w:val="clear"/>
          </w:tcPr>
          <w:p>
            <w:pPr>
              <w:jc w:val="center"/>
            </w:pPr>
            <w:r>
              <w:rPr>
                <w:rFonts w:ascii="Times New Roman" w:cs="Times New Roman" w:eastAsia="Times New Roman" w:hAnsi="Times New Roman"/>
                <w:b/>
                <w:bCs/>
                <w:color w:val="FFFFFF"/>
                <w:sz w:val="20"/>
                <w:szCs w:val="20"/>
              </w:rPr>
              <w:t xml:space="preserve">Classe(s) pertinente(s) — à compléter</w:t>
            </w:r>
          </w:p>
        </w:tc>
      </w:tr>
      <w:tr>
        <w:tc>
          <w:tcPr>
            <w:shd w:fill="EEF2F7" w:val="clear"/>
          </w:tcPr>
          <w:p>
            <w:r>
              <w:rPr>
                <w:rFonts w:ascii="Times New Roman" w:cs="Times New Roman" w:eastAsia="Times New Roman" w:hAnsi="Times New Roman"/>
                <w:color w:val="1F2937"/>
                <w:sz w:val="20"/>
                <w:szCs w:val="20"/>
              </w:rPr>
              <w:t xml:space="preserve">Épargne de précaution (3 mois de charges)</w:t>
            </w:r>
          </w:p>
        </w:tc>
        <w:tc>
          <w:tcPr>
            <w:shd w:fill="EEF2F7" w:val="clear"/>
          </w:tcPr>
          <w:p>
            <w:r>
              <w:rPr>
                <w:rFonts w:ascii="Times New Roman" w:cs="Times New Roman" w:eastAsia="Times New Roman" w:hAnsi="Times New Roman"/>
                <w:color w:val="1F2937"/>
                <w:sz w:val="20"/>
                <w:szCs w:val="20"/>
              </w:rPr>
              <w:t xml:space="preserve">Immédiat</w:t>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Projet voiture dans 3 ans</w:t>
            </w:r>
          </w:p>
        </w:tc>
        <w:tc>
          <w:tcPr>
            <w:shd w:fill="FFFFFF" w:val="clear"/>
          </w:tcPr>
          <w:p>
            <w:r>
              <w:rPr>
                <w:rFonts w:ascii="Times New Roman" w:cs="Times New Roman" w:eastAsia="Times New Roman" w:hAnsi="Times New Roman"/>
                <w:color w:val="1F2937"/>
                <w:sz w:val="20"/>
                <w:szCs w:val="20"/>
              </w:rPr>
              <w:t xml:space="preserve">Court-moyen</w:t>
            </w:r>
          </w:p>
        </w:tc>
        <w:tc>
          <w:tcPr>
            <w:shd w:fill="FFFFFF" w:val="clear"/>
          </w:tcPr>
          <w:p>
            <w:r>
              <w:rPr>
                <w:rFonts w:ascii="Times New Roman" w:cs="Times New Roman" w:eastAsia="Times New Roman" w:hAnsi="Times New Roman"/>
                <w:color w:val="1F2937"/>
                <w:sz w:val="20"/>
                <w:szCs w:val="20"/>
              </w:rPr>
              <w:t xml:space="preserve"/>
            </w:r>
          </w:p>
        </w:tc>
      </w:tr>
      <w:tr>
        <w:tc>
          <w:tcPr>
            <w:shd w:fill="EEF2F7" w:val="clear"/>
          </w:tcPr>
          <w:p>
            <w:r>
              <w:rPr>
                <w:rFonts w:ascii="Times New Roman" w:cs="Times New Roman" w:eastAsia="Times New Roman" w:hAnsi="Times New Roman"/>
                <w:color w:val="1F2937"/>
                <w:sz w:val="20"/>
                <w:szCs w:val="20"/>
              </w:rPr>
              <w:t xml:space="preserve">Complément retraite à 8 ans</w:t>
            </w:r>
          </w:p>
        </w:tc>
        <w:tc>
          <w:tcPr>
            <w:shd w:fill="EEF2F7" w:val="clear"/>
          </w:tcPr>
          <w:p>
            <w:r>
              <w:rPr>
                <w:rFonts w:ascii="Times New Roman" w:cs="Times New Roman" w:eastAsia="Times New Roman" w:hAnsi="Times New Roman"/>
                <w:color w:val="1F2937"/>
                <w:sz w:val="20"/>
                <w:szCs w:val="20"/>
              </w:rPr>
              <w:t xml:space="preserve">Moyen terme</w:t>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Transmission patrimoniale à 15 ans+</w:t>
            </w:r>
          </w:p>
        </w:tc>
        <w:tc>
          <w:tcPr>
            <w:shd w:fill="FFFFFF" w:val="clear"/>
          </w:tcPr>
          <w:p>
            <w:r>
              <w:rPr>
                <w:rFonts w:ascii="Times New Roman" w:cs="Times New Roman" w:eastAsia="Times New Roman" w:hAnsi="Times New Roman"/>
                <w:color w:val="1F2937"/>
                <w:sz w:val="20"/>
                <w:szCs w:val="20"/>
              </w:rPr>
              <w:t xml:space="preserve">Long terme</w:t>
            </w:r>
          </w:p>
        </w:tc>
        <w:tc>
          <w:tcPr>
            <w:shd w:fill="FFFFFF" w:val="clear"/>
          </w:tcPr>
          <w:p>
            <w:r>
              <w:rPr>
                <w:rFonts w:ascii="Times New Roman" w:cs="Times New Roman" w:eastAsia="Times New Roman" w:hAnsi="Times New Roman"/>
                <w:color w:val="1F2937"/>
                <w:sz w:val="20"/>
                <w:szCs w:val="20"/>
              </w:rPr>
              <w:t xml:space="preserve"/>
            </w:r>
          </w:p>
        </w:tc>
      </w:tr>
    </w:tbl>
    <w:p>
      <w:r>
        <w:t xml:space="preserve"/>
      </w:r>
    </w:p>
    <w:p>
      <w:pPr>
        <w:spacing w:after="120"/>
      </w:pPr>
      <w:r>
        <w:rPr>
          <w:rFonts w:ascii="Times New Roman" w:cs="Times New Roman" w:eastAsia="Times New Roman" w:hAnsi="Times New Roman"/>
          <w:color w:val="1F2937"/>
          <w:sz w:val="22"/>
          <w:szCs w:val="22"/>
        </w:rPr>
        <w:t xml:space="preserve">Correction proposée (compare avec ta réponse) :</w:t>
      </w:r>
    </w:p>
    <w:p>
      <w:pPr>
        <w:pStyle w:val="ListParagraph"/>
        <w:numPr>
          <w:ilvl w:val="0"/>
          <w:numId w:val="1"/>
        </w:numPr>
        <w:spacing w:after="80"/>
      </w:pPr>
      <w:r>
        <w:rPr>
          <w:rFonts w:ascii="Times New Roman" w:cs="Times New Roman" w:eastAsia="Times New Roman" w:hAnsi="Times New Roman"/>
          <w:color w:val="1F2937"/>
          <w:sz w:val="22"/>
          <w:szCs w:val="22"/>
        </w:rPr>
        <w:t xml:space="preserve">Épargne de précaution → Monétaire (Livret A, LDDS) : liquidité immédiate, capital sécurisé.</w:t>
      </w:r>
    </w:p>
    <w:p>
      <w:pPr>
        <w:pStyle w:val="ListParagraph"/>
        <w:numPr>
          <w:ilvl w:val="0"/>
          <w:numId w:val="1"/>
        </w:numPr>
        <w:spacing w:after="80"/>
      </w:pPr>
      <w:r>
        <w:rPr>
          <w:rFonts w:ascii="Times New Roman" w:cs="Times New Roman" w:eastAsia="Times New Roman" w:hAnsi="Times New Roman"/>
          <w:color w:val="1F2937"/>
          <w:sz w:val="22"/>
          <w:szCs w:val="22"/>
        </w:rPr>
        <w:t xml:space="preserve">Projet voiture dans 3 ans → Monétaire / Obligations courtes : horizon trop court pour l'immobilier ou les actions.</w:t>
      </w:r>
    </w:p>
    <w:p>
      <w:pPr>
        <w:pStyle w:val="ListParagraph"/>
        <w:numPr>
          <w:ilvl w:val="0"/>
          <w:numId w:val="1"/>
        </w:numPr>
        <w:spacing w:after="80"/>
      </w:pPr>
      <w:r>
        <w:rPr>
          <w:rFonts w:ascii="Times New Roman" w:cs="Times New Roman" w:eastAsia="Times New Roman" w:hAnsi="Times New Roman"/>
          <w:color w:val="1F2937"/>
          <w:sz w:val="22"/>
          <w:szCs w:val="22"/>
        </w:rPr>
        <w:t xml:space="preserve">Complément retraite à 8 ans → Mix obligataire + actions + éventuellement SCPI : horizon suffisant, mais sécurisation progressive recommandée à l'approche de l'échéance (L15).</w:t>
      </w:r>
    </w:p>
    <w:p>
      <w:pPr>
        <w:pStyle w:val="ListParagraph"/>
        <w:numPr>
          <w:ilvl w:val="0"/>
          <w:numId w:val="1"/>
        </w:numPr>
        <w:spacing w:after="80"/>
      </w:pPr>
      <w:r>
        <w:rPr>
          <w:rFonts w:ascii="Times New Roman" w:cs="Times New Roman" w:eastAsia="Times New Roman" w:hAnsi="Times New Roman"/>
          <w:color w:val="1F2937"/>
          <w:sz w:val="22"/>
          <w:szCs w:val="22"/>
        </w:rPr>
        <w:t xml:space="preserve">Transmission à 15 ans+ → Davantage d'actions possibles : horizon long qui permet d'absorber la volatilité.</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Comprendre l'impact du risque de taux sur les obligations</w:t>
      </w:r>
    </w:p>
    <w:p>
      <w:pPr>
        <w:spacing w:after="120"/>
      </w:pPr>
      <w:r>
        <w:rPr>
          <w:rFonts w:ascii="Times New Roman" w:cs="Times New Roman" w:eastAsia="Times New Roman" w:hAnsi="Times New Roman"/>
          <w:color w:val="1F2937"/>
          <w:sz w:val="22"/>
          <w:szCs w:val="22"/>
        </w:rPr>
        <w:t xml:space="preserve">Scénario : tu détiens une obligation d'État à 3 % sur 10 ans, achetée en 2024. En 2026, la Banque Centrale Européenne relève ses taux directeurs à 4 %.</w:t>
      </w:r>
    </w:p>
    <w:p>
      <w:r>
        <w:t xml:space="preserve"/>
      </w:r>
    </w:p>
    <w:p>
      <w:pPr>
        <w:spacing w:after="120"/>
      </w:pPr>
      <w:r>
        <w:rPr>
          <w:rFonts w:ascii="Times New Roman" w:cs="Times New Roman" w:eastAsia="Times New Roman" w:hAnsi="Times New Roman"/>
          <w:color w:val="1F2937"/>
          <w:sz w:val="22"/>
          <w:szCs w:val="22"/>
        </w:rPr>
        <w:t xml:space="preserve">Réponds aux 3 questions suivantes :</w:t>
      </w:r>
    </w:p>
    <w:p>
      <w:pPr>
        <w:pStyle w:val="ListParagraph"/>
        <w:numPr>
          <w:ilvl w:val="0"/>
          <w:numId w:val="1"/>
        </w:numPr>
        <w:spacing w:after="80"/>
      </w:pPr>
      <w:r>
        <w:rPr>
          <w:rFonts w:ascii="Times New Roman" w:cs="Times New Roman" w:eastAsia="Times New Roman" w:hAnsi="Times New Roman"/>
          <w:color w:val="1F2937"/>
          <w:sz w:val="22"/>
          <w:szCs w:val="22"/>
        </w:rPr>
        <w:t xml:space="preserve">Q1 : Comment évolue la valeur de marché de ton obligation sur le marché secondaire (hausse / baisse / stable) ? Pourquoi ?</w:t>
      </w:r>
    </w:p>
    <w:p>
      <w:pPr>
        <w:pStyle w:val="ListParagraph"/>
        <w:numPr>
          <w:ilvl w:val="0"/>
          <w:numId w:val="1"/>
        </w:numPr>
        <w:spacing w:after="80"/>
      </w:pPr>
      <w:r>
        <w:rPr>
          <w:rFonts w:ascii="Times New Roman" w:cs="Times New Roman" w:eastAsia="Times New Roman" w:hAnsi="Times New Roman"/>
          <w:color w:val="1F2937"/>
          <w:sz w:val="22"/>
          <w:szCs w:val="22"/>
        </w:rPr>
        <w:t xml:space="preserve">Q2 : Si tu attends l'échéance en 2034, es-tu affecté par cette baisse de valeur de marché ? Pourquoi ?</w:t>
      </w:r>
    </w:p>
    <w:p>
      <w:pPr>
        <w:pStyle w:val="ListParagraph"/>
        <w:numPr>
          <w:ilvl w:val="0"/>
          <w:numId w:val="1"/>
        </w:numPr>
        <w:spacing w:after="80"/>
      </w:pPr>
      <w:r>
        <w:rPr>
          <w:rFonts w:ascii="Times New Roman" w:cs="Times New Roman" w:eastAsia="Times New Roman" w:hAnsi="Times New Roman"/>
          <w:color w:val="1F2937"/>
          <w:sz w:val="22"/>
          <w:szCs w:val="22"/>
        </w:rPr>
        <w:t xml:space="preserve">Q3 : Quel est le nom du risque que tu viens d'identifier ?</w:t>
      </w:r>
    </w:p>
    <w:p>
      <w:r>
        <w:t xml:space="preserve"/>
      </w:r>
    </w:p>
    <w:p>
      <w:pPr>
        <w:spacing w:after="120"/>
      </w:pPr>
      <w:r>
        <w:rPr>
          <w:rFonts w:ascii="Times New Roman" w:cs="Times New Roman" w:eastAsia="Times New Roman" w:hAnsi="Times New Roman"/>
          <w:color w:val="1F2937"/>
          <w:sz w:val="22"/>
          <w:szCs w:val="22"/>
        </w:rPr>
        <w:t xml:space="preserve">Éléments de correction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R1 : La valeur de marché BAISSE. De nouvelles obligations offrent 4 % : les anciennes à 3 % sont moins attractives, leur prix s'ajuste à la baisse pour offrir un rendement équivalent.</w:t>
      </w:r>
    </w:p>
    <w:p>
      <w:pPr>
        <w:pStyle w:val="ListParagraph"/>
        <w:numPr>
          <w:ilvl w:val="0"/>
          <w:numId w:val="1"/>
        </w:numPr>
        <w:spacing w:after="80"/>
      </w:pPr>
      <w:r>
        <w:rPr>
          <w:rFonts w:ascii="Times New Roman" w:cs="Times New Roman" w:eastAsia="Times New Roman" w:hAnsi="Times New Roman"/>
          <w:color w:val="1F2937"/>
          <w:sz w:val="22"/>
          <w:szCs w:val="22"/>
        </w:rPr>
        <w:t xml:space="preserve">R2 : Non, si tu attends l'échéance. Tu percevras ton coupon de 3 % chaque année et ton capital à l'échéance, conformément au contrat initial. La variation intermédiaire n'affecte pas le flux.</w:t>
      </w:r>
    </w:p>
    <w:p>
      <w:pPr>
        <w:pStyle w:val="ListParagraph"/>
        <w:numPr>
          <w:ilvl w:val="0"/>
          <w:numId w:val="1"/>
        </w:numPr>
        <w:spacing w:after="80"/>
      </w:pPr>
      <w:r>
        <w:rPr>
          <w:rFonts w:ascii="Times New Roman" w:cs="Times New Roman" w:eastAsia="Times New Roman" w:hAnsi="Times New Roman"/>
          <w:color w:val="1F2937"/>
          <w:sz w:val="22"/>
          <w:szCs w:val="22"/>
        </w:rPr>
        <w:t xml:space="preserve">R3 : Risque de taux (ou risque de sensibilité). C'est l'un des deux risques principaux des obligations avec le risque de crédit.</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La volatilité des actions sur différentes périodes</w:t>
      </w:r>
    </w:p>
    <w:p>
      <w:pPr>
        <w:spacing w:after="120"/>
      </w:pPr>
      <w:r>
        <w:rPr>
          <w:rFonts w:ascii="Times New Roman" w:cs="Times New Roman" w:eastAsia="Times New Roman" w:hAnsi="Times New Roman"/>
          <w:color w:val="1F2937"/>
          <w:sz w:val="22"/>
          <w:szCs w:val="22"/>
        </w:rPr>
        <w:t xml:space="preserve">Voici des données historiques indicatives sur un indice large diversifié (type MSCI World) — données à titre pédagogique uniquement, non contractuelles :</w:t>
      </w:r>
    </w:p>
    <w:p>
      <w:pPr>
        <w:pStyle w:val="ListParagraph"/>
        <w:numPr>
          <w:ilvl w:val="0"/>
          <w:numId w:val="1"/>
        </w:numPr>
        <w:spacing w:after="80"/>
      </w:pPr>
      <w:r>
        <w:rPr>
          <w:rFonts w:ascii="Times New Roman" w:cs="Times New Roman" w:eastAsia="Times New Roman" w:hAnsi="Times New Roman"/>
          <w:color w:val="1F2937"/>
          <w:sz w:val="22"/>
          <w:szCs w:val="22"/>
        </w:rPr>
        <w:t xml:space="preserve">Meilleure année : +40 % environ (2019)</w:t>
      </w:r>
    </w:p>
    <w:p>
      <w:pPr>
        <w:pStyle w:val="ListParagraph"/>
        <w:numPr>
          <w:ilvl w:val="0"/>
          <w:numId w:val="1"/>
        </w:numPr>
        <w:spacing w:after="80"/>
      </w:pPr>
      <w:r>
        <w:rPr>
          <w:rFonts w:ascii="Times New Roman" w:cs="Times New Roman" w:eastAsia="Times New Roman" w:hAnsi="Times New Roman"/>
          <w:color w:val="1F2937"/>
          <w:sz w:val="22"/>
          <w:szCs w:val="22"/>
        </w:rPr>
        <w:t xml:space="preserve">Pire année : −40 % environ (2008)</w:t>
      </w:r>
    </w:p>
    <w:p>
      <w:pPr>
        <w:pStyle w:val="ListParagraph"/>
        <w:numPr>
          <w:ilvl w:val="0"/>
          <w:numId w:val="1"/>
        </w:numPr>
        <w:spacing w:after="80"/>
      </w:pPr>
      <w:r>
        <w:rPr>
          <w:rFonts w:ascii="Times New Roman" w:cs="Times New Roman" w:eastAsia="Times New Roman" w:hAnsi="Times New Roman"/>
          <w:color w:val="1F2937"/>
          <w:sz w:val="22"/>
          <w:szCs w:val="22"/>
        </w:rPr>
        <w:t xml:space="preserve">Rendement annualisé moyen sur 30 ans : ~7–8 % (avant inflation et frais)</w:t>
      </w:r>
    </w:p>
    <w:p>
      <w:r>
        <w:t xml:space="preserve"/>
      </w:r>
    </w:p>
    <w:p>
      <w:pPr>
        <w:spacing w:after="120"/>
      </w:pPr>
      <w:r>
        <w:rPr>
          <w:rFonts w:ascii="Times New Roman" w:cs="Times New Roman" w:eastAsia="Times New Roman" w:hAnsi="Times New Roman"/>
          <w:color w:val="1F2937"/>
          <w:sz w:val="22"/>
          <w:szCs w:val="22"/>
        </w:rPr>
        <w:t xml:space="preserve">Analyse les implications suivantes :</w:t>
      </w:r>
    </w:p>
    <w:p>
      <w:pPr>
        <w:pStyle w:val="ListParagraph"/>
        <w:numPr>
          <w:ilvl w:val="0"/>
          <w:numId w:val="1"/>
        </w:numPr>
        <w:spacing w:after="80"/>
      </w:pPr>
      <w:r>
        <w:rPr>
          <w:rFonts w:ascii="Times New Roman" w:cs="Times New Roman" w:eastAsia="Times New Roman" w:hAnsi="Times New Roman"/>
          <w:color w:val="1F2937"/>
          <w:sz w:val="22"/>
          <w:szCs w:val="22"/>
        </w:rPr>
        <w:t xml:space="preserve">Si tu avais investi 10 000 € en actions en janvier 2008, qu'aurait valu ton portefeuille en décembre 2008 (approximation à −40 %) ?</w:t>
      </w:r>
    </w:p>
    <w:p>
      <w:pPr>
        <w:pStyle w:val="ListParagraph"/>
        <w:numPr>
          <w:ilvl w:val="0"/>
          <w:numId w:val="1"/>
        </w:numPr>
        <w:spacing w:after="80"/>
      </w:pPr>
      <w:r>
        <w:rPr>
          <w:rFonts w:ascii="Times New Roman" w:cs="Times New Roman" w:eastAsia="Times New Roman" w:hAnsi="Times New Roman"/>
          <w:color w:val="1F2937"/>
          <w:sz w:val="22"/>
          <w:szCs w:val="22"/>
        </w:rPr>
        <w:t xml:space="preserve">Si tu avais maintenu ce placement jusqu'en 2023 (15 ans), et que le rendement annualisé sur la période avait été de 6 % (hypothèse fictive pédagogique), quelle aurait été la valeur approximative du capital retrouvé ? (utilise la formule C × (1+r)^n)</w:t>
      </w:r>
    </w:p>
    <w:p>
      <w:pPr>
        <w:pStyle w:val="ListParagraph"/>
        <w:numPr>
          <w:ilvl w:val="0"/>
          <w:numId w:val="1"/>
        </w:numPr>
        <w:spacing w:after="80"/>
      </w:pPr>
      <w:r>
        <w:rPr>
          <w:rFonts w:ascii="Times New Roman" w:cs="Times New Roman" w:eastAsia="Times New Roman" w:hAnsi="Times New Roman"/>
          <w:color w:val="1F2937"/>
          <w:sz w:val="22"/>
          <w:szCs w:val="22"/>
        </w:rPr>
        <w:t xml:space="preserve">Quelle leçon tires-tu sur l'importance du rapport entre horizon de placement et classe d'actifs actions ?</w:t>
      </w:r>
    </w:p>
    <w:p>
      <w:r>
        <w:t xml:space="preserve"/>
      </w:r>
    </w:p>
    <w:p>
      <w:pPr>
        <w:spacing w:after="120"/>
      </w:pPr>
      <w:r>
        <w:rPr>
          <w:rFonts w:ascii="Times New Roman" w:cs="Times New Roman" w:eastAsia="Times New Roman" w:hAnsi="Times New Roman"/>
          <w:color w:val="1F2937"/>
          <w:sz w:val="22"/>
          <w:szCs w:val="22"/>
        </w:rPr>
        <w:t xml:space="preserve">Calculs guidés :</w:t>
      </w:r>
    </w:p>
    <w:p>
      <w:pPr>
        <w:pStyle w:val="ListParagraph"/>
        <w:numPr>
          <w:ilvl w:val="0"/>
          <w:numId w:val="1"/>
        </w:numPr>
        <w:spacing w:after="80"/>
      </w:pPr>
      <w:r>
        <w:rPr>
          <w:rFonts w:ascii="Times New Roman" w:cs="Times New Roman" w:eastAsia="Times New Roman" w:hAnsi="Times New Roman"/>
          <w:color w:val="1F2937"/>
          <w:sz w:val="22"/>
          <w:szCs w:val="22"/>
        </w:rPr>
        <w:t xml:space="preserve">2008 → 10 000 × (1 − 0,40) = 6 000 € (choc de court terme).</w:t>
      </w:r>
    </w:p>
    <w:p>
      <w:pPr>
        <w:pStyle w:val="ListParagraph"/>
        <w:numPr>
          <w:ilvl w:val="0"/>
          <w:numId w:val="1"/>
        </w:numPr>
        <w:spacing w:after="80"/>
      </w:pPr>
      <w:r>
        <w:rPr>
          <w:rFonts w:ascii="Times New Roman" w:cs="Times New Roman" w:eastAsia="Times New Roman" w:hAnsi="Times New Roman"/>
          <w:color w:val="1F2937"/>
          <w:sz w:val="22"/>
          <w:szCs w:val="22"/>
        </w:rPr>
        <w:t xml:space="preserve">6 000 × (1,06)^15 = 6 000 × 2,397 ≈ 14 380 € (hypothèse fictive pédagogique — non contractuelle). La perte de 2008 est absorbée sur 15 ans, avec croissance positive.</w:t>
      </w:r>
    </w:p>
    <w:p>
      <w:pPr>
        <w:pStyle w:val="ListParagraph"/>
        <w:numPr>
          <w:ilvl w:val="0"/>
          <w:numId w:val="1"/>
        </w:numPr>
        <w:spacing w:after="80"/>
      </w:pPr>
      <w:r>
        <w:rPr>
          <w:rFonts w:ascii="Times New Roman" w:cs="Times New Roman" w:eastAsia="Times New Roman" w:hAnsi="Times New Roman"/>
          <w:color w:val="1F2937"/>
          <w:sz w:val="22"/>
          <w:szCs w:val="22"/>
        </w:rPr>
        <w:t xml:space="preserve">Leçon : sur un horizon court, les actions exposent à une perte majeure non récupérable. Sur un horizon long (15 ans), la volatilité est amortie par l'effet temps. C'est pourquoi l'horizon est LE critère premier.</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Challenge — Synthèse des classes d'actifs</w:t>
      </w:r>
    </w:p>
    <w:p>
      <w:pPr>
        <w:spacing w:after="120"/>
      </w:pPr>
      <w:r>
        <w:rPr>
          <w:rFonts w:ascii="Times New Roman" w:cs="Times New Roman" w:eastAsia="Times New Roman" w:hAnsi="Times New Roman"/>
          <w:color w:val="1F2937"/>
          <w:sz w:val="22"/>
          <w:szCs w:val="22"/>
        </w:rPr>
        <w:t xml:space="preserve">Situation fictive à analyser (exercice de réflexion, pas de conseil) :</w:t>
      </w:r>
    </w:p>
    <w:p>
      <w:pPr>
        <w:shd w:fill="EEF2F7" w:val="clear"/>
        <w:spacing w:after="120" w:before="120"/>
        <w:ind w:left="360" w:right="360"/>
      </w:pPr>
      <w:r>
        <w:rPr>
          <w:rFonts w:ascii="Times New Roman" w:cs="Times New Roman" w:eastAsia="Times New Roman" w:hAnsi="Times New Roman"/>
          <w:color w:val="1F2937"/>
          <w:sz w:val="22"/>
          <w:szCs w:val="22"/>
        </w:rPr>
        <w:t xml:space="preserve">Imagine deux personnes : Anne (32 ans, horizon 25 ans) et Bernard (61 ans, horizon 7–8 ans). Ils ont chacun 50 000 € à placer. Ils envisagent tous les deux de mettre 100 % en actions. Analyse, pour chacun, les risques et la cohérence de cette approche selon ce que tu as appris sur les classes d'actifs et les horizons.</w:t>
      </w:r>
    </w:p>
    <w:p>
      <w:r>
        <w:t xml:space="preserve"/>
      </w:r>
    </w:p>
    <w:p>
      <w:pPr>
        <w:spacing w:after="120"/>
      </w:pPr>
      <w:r>
        <w:rPr>
          <w:rFonts w:ascii="Times New Roman" w:cs="Times New Roman" w:eastAsia="Times New Roman" w:hAnsi="Times New Roman"/>
          <w:color w:val="1F2937"/>
          <w:sz w:val="22"/>
          <w:szCs w:val="22"/>
        </w:rPr>
        <w:t xml:space="preserve">Points attendus dans ta réflexion :</w:t>
      </w:r>
    </w:p>
    <w:p>
      <w:pPr>
        <w:pStyle w:val="ListParagraph"/>
        <w:numPr>
          <w:ilvl w:val="0"/>
          <w:numId w:val="1"/>
        </w:numPr>
        <w:spacing w:after="80"/>
      </w:pPr>
      <w:r>
        <w:rPr>
          <w:rFonts w:ascii="Times New Roman" w:cs="Times New Roman" w:eastAsia="Times New Roman" w:hAnsi="Times New Roman"/>
          <w:color w:val="1F2937"/>
          <w:sz w:val="22"/>
          <w:szCs w:val="22"/>
        </w:rPr>
        <w:t xml:space="preserve">Anne (horizon 25 ans) : l'horizon long lui permet d'absorber la volatilité des actions. En cas de choc (−40 %), elle a 25 ans pour récupérer. Un portefeuille majoritairement actions peut être cohérent avec son profil ET son horizon. Elle devra néanmoins diversifier (ne pas mettre sur une seule action/marché — cf. L2).</w:t>
      </w:r>
    </w:p>
    <w:p>
      <w:pPr>
        <w:pStyle w:val="ListParagraph"/>
        <w:numPr>
          <w:ilvl w:val="0"/>
          <w:numId w:val="1"/>
        </w:numPr>
        <w:spacing w:after="80"/>
      </w:pPr>
      <w:r>
        <w:rPr>
          <w:rFonts w:ascii="Times New Roman" w:cs="Times New Roman" w:eastAsia="Times New Roman" w:hAnsi="Times New Roman"/>
          <w:color w:val="1F2937"/>
          <w:sz w:val="22"/>
          <w:szCs w:val="22"/>
        </w:rPr>
        <w:t xml:space="preserve">Bernard (horizon 7–8 ans) : le risque est plus élevé. Une perte de 40 % en début de période laisserait peu de temps pour récupérer. L'approche 100 % actions est potentiellement inadaptée à l'horizon. Une diversification entre classes (obligations, monétaire, et une part d'actions avec sécurisation progressive à l'approche de l'échéance) mérite d'être envisagée avec un conseiller agréé. RAPPEL : toute décision concrète relève d'un CGP/CIF agréé.</w:t>
      </w:r>
    </w:p>
    <w:p>
      <w:pPr>
        <w:pStyle w:val="ListParagraph"/>
        <w:numPr>
          <w:ilvl w:val="0"/>
          <w:numId w:val="1"/>
        </w:numPr>
        <w:spacing w:after="80"/>
      </w:pPr>
      <w:r>
        <w:rPr>
          <w:rFonts w:ascii="Times New Roman" w:cs="Times New Roman" w:eastAsia="Times New Roman" w:hAnsi="Times New Roman"/>
          <w:color w:val="1F2937"/>
          <w:sz w:val="22"/>
          <w:szCs w:val="22"/>
        </w:rPr>
        <w:t xml:space="preserve">Conclusion générale : l'horizon est le filtre premier. Bernard et Anne ne devraient pas avoir la même structure de portefeuille, même avec le même montant.</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Pont pro (optionnel)</w:t>
      </w:r>
    </w:p>
    <w:p>
      <w:pPr>
        <w:spacing w:after="120"/>
      </w:pPr>
      <w:r>
        <w:rPr>
          <w:rFonts w:ascii="Times New Roman" w:cs="Times New Roman" w:eastAsia="Times New Roman" w:hAnsi="Times New Roman"/>
          <w:color w:val="1F2937"/>
          <w:sz w:val="22"/>
          <w:szCs w:val="22"/>
        </w:rPr>
        <w:t xml:space="preserve">En tant que chef de service dans un ESSMS, tu gères des budgets contraints et tu planifies à horizon CPOM (5 ans). Comme en placement financier, tu dois mobiliser les « bons actifs » selon l'horizon :</w:t>
      </w:r>
    </w:p>
    <w:p>
      <w:pPr>
        <w:pStyle w:val="ListParagraph"/>
        <w:numPr>
          <w:ilvl w:val="0"/>
          <w:numId w:val="1"/>
        </w:numPr>
        <w:spacing w:after="80"/>
      </w:pPr>
      <w:r>
        <w:rPr>
          <w:rFonts w:ascii="Times New Roman" w:cs="Times New Roman" w:eastAsia="Times New Roman" w:hAnsi="Times New Roman"/>
          <w:color w:val="1F2937"/>
          <w:sz w:val="22"/>
          <w:szCs w:val="22"/>
        </w:rPr>
        <w:t xml:space="preserve">Court terme → réserves de trésorerie (monétaire) : fonds disponibles pour imprévus RH ou maintenance urgente.</w:t>
      </w:r>
    </w:p>
    <w:p>
      <w:pPr>
        <w:pStyle w:val="ListParagraph"/>
        <w:numPr>
          <w:ilvl w:val="0"/>
          <w:numId w:val="1"/>
        </w:numPr>
        <w:spacing w:after="80"/>
      </w:pPr>
      <w:r>
        <w:rPr>
          <w:rFonts w:ascii="Times New Roman" w:cs="Times New Roman" w:eastAsia="Times New Roman" w:hAnsi="Times New Roman"/>
          <w:color w:val="1F2937"/>
          <w:sz w:val="22"/>
          <w:szCs w:val="22"/>
        </w:rPr>
        <w:t xml:space="preserve">Moyen terme → investissements structurels planifiés (travaux accessibilité, équipements) : équivalent des obligations — engagement sur plusieurs années.</w:t>
      </w:r>
    </w:p>
    <w:p>
      <w:pPr>
        <w:pStyle w:val="ListParagraph"/>
        <w:numPr>
          <w:ilvl w:val="0"/>
          <w:numId w:val="1"/>
        </w:numPr>
        <w:spacing w:after="80"/>
      </w:pPr>
      <w:r>
        <w:rPr>
          <w:rFonts w:ascii="Times New Roman" w:cs="Times New Roman" w:eastAsia="Times New Roman" w:hAnsi="Times New Roman"/>
          <w:color w:val="1F2937"/>
          <w:sz w:val="22"/>
          <w:szCs w:val="22"/>
        </w:rPr>
        <w:t xml:space="preserve">Long terme → projets de développement stratégique (ouverture d'une nouvelle unité, reconversion) : équivalent des actions — potentiel élevé, risque à gérer.</w:t>
      </w:r>
    </w:p>
    <w:p>
      <w:pPr>
        <w:spacing w:after="120"/>
      </w:pPr>
      <w:r>
        <w:rPr>
          <w:rFonts w:ascii="Times New Roman" w:cs="Times New Roman" w:eastAsia="Times New Roman" w:hAnsi="Times New Roman"/>
          <w:color w:val="1F2937"/>
          <w:sz w:val="22"/>
          <w:szCs w:val="22"/>
        </w:rPr>
        <w:t xml:space="preserve">La logique « adapter l'outil à l'horizon » est universelle, que tu gères un budget ESSMS ou un patrimoine personnel.</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Ressources cliquables pour approfondir</w:t>
      </w:r>
    </w:p>
    <w:p>
      <w:pPr>
        <w:pStyle w:val="ListParagraph"/>
        <w:numPr>
          <w:ilvl w:val="0"/>
          <w:numId w:val="1"/>
        </w:numPr>
        <w:spacing w:after="80"/>
      </w:pPr>
      <w:hyperlink w:history="1" r:id="rIdhmjx_wbtzwz42s70kqzci">
        <w:r>
          <w:rPr>
            <w:rFonts w:ascii="Times New Roman" w:cs="Times New Roman" w:eastAsia="Times New Roman" w:hAnsi="Times New Roman"/>
            <w:color w:val="1155CC"/>
            <w:sz w:val="22"/>
            <w:szCs w:val="22"/>
            <w:u w:val="single"/>
          </w:rPr>
          <w:t xml:space="preserve">La Finance pour Tous — Actions (définition, risques, conseils)</w:t>
        </w:r>
      </w:hyperlink>
    </w:p>
    <w:p>
      <w:pPr>
        <w:pStyle w:val="ListParagraph"/>
        <w:numPr>
          <w:ilvl w:val="0"/>
          <w:numId w:val="1"/>
        </w:numPr>
        <w:spacing w:after="80"/>
      </w:pPr>
      <w:hyperlink w:history="1" r:id="rIdeflj4ytp1o5oaoqso4fjr">
        <w:r>
          <w:rPr>
            <w:rFonts w:ascii="Times New Roman" w:cs="Times New Roman" w:eastAsia="Times New Roman" w:hAnsi="Times New Roman"/>
            <w:color w:val="1155CC"/>
            <w:sz w:val="22"/>
            <w:szCs w:val="22"/>
            <w:u w:val="single"/>
          </w:rPr>
          <w:t xml:space="preserve">La Finance pour Tous — Qu'est-ce qu'une obligation ?</w:t>
        </w:r>
      </w:hyperlink>
    </w:p>
    <w:p>
      <w:pPr>
        <w:pStyle w:val="ListParagraph"/>
        <w:numPr>
          <w:ilvl w:val="0"/>
          <w:numId w:val="1"/>
        </w:numPr>
        <w:spacing w:after="80"/>
      </w:pPr>
      <w:hyperlink w:history="1" r:id="rId5mmcmuk7i7ywxno96pmr2">
        <w:r>
          <w:rPr>
            <w:rFonts w:ascii="Times New Roman" w:cs="Times New Roman" w:eastAsia="Times New Roman" w:hAnsi="Times New Roman"/>
            <w:color w:val="1155CC"/>
            <w:sz w:val="22"/>
            <w:szCs w:val="22"/>
            <w:u w:val="single"/>
          </w:rPr>
          <w:t xml:space="preserve">La Finance pour Tous — Obligations : est-ce un produit pour moi ?</w:t>
        </w:r>
      </w:hyperlink>
    </w:p>
    <w:p>
      <w:pPr>
        <w:pStyle w:val="ListParagraph"/>
        <w:numPr>
          <w:ilvl w:val="0"/>
          <w:numId w:val="1"/>
        </w:numPr>
        <w:spacing w:after="80"/>
      </w:pPr>
      <w:hyperlink w:history="1" r:id="rIdkvjlt8lcbescafngykcd9">
        <w:r>
          <w:rPr>
            <w:rFonts w:ascii="Times New Roman" w:cs="Times New Roman" w:eastAsia="Times New Roman" w:hAnsi="Times New Roman"/>
            <w:color w:val="1155CC"/>
            <w:sz w:val="22"/>
            <w:szCs w:val="22"/>
            <w:u w:val="single"/>
          </w:rPr>
          <w:t xml:space="preserve">La Finance pour Tous — Classes d'actifs (dictionnaire)</w:t>
        </w:r>
      </w:hyperlink>
    </w:p>
    <w:p>
      <w:pPr>
        <w:pStyle w:val="ListParagraph"/>
        <w:numPr>
          <w:ilvl w:val="0"/>
          <w:numId w:val="1"/>
        </w:numPr>
        <w:spacing w:after="80"/>
      </w:pPr>
      <w:hyperlink w:history="1" r:id="rId05fapouwntvyczm--xgnj">
        <w:r>
          <w:rPr>
            <w:rFonts w:ascii="Times New Roman" w:cs="Times New Roman" w:eastAsia="Times New Roman" w:hAnsi="Times New Roman"/>
            <w:color w:val="1155CC"/>
            <w:sz w:val="22"/>
            <w:szCs w:val="22"/>
            <w:u w:val="single"/>
          </w:rPr>
          <w:t xml:space="preserve">La Finance pour Tous — Livrets réglementés (en bref)</w:t>
        </w:r>
      </w:hyperlink>
    </w:p>
    <w:p>
      <w:pPr>
        <w:pStyle w:val="ListParagraph"/>
        <w:numPr>
          <w:ilvl w:val="0"/>
          <w:numId w:val="1"/>
        </w:numPr>
        <w:spacing w:after="80"/>
      </w:pPr>
      <w:hyperlink w:history="1" r:id="rIdvsz5bmaqek3toa9wxpvof">
        <w:r>
          <w:rPr>
            <w:rFonts w:ascii="Times New Roman" w:cs="Times New Roman" w:eastAsia="Times New Roman" w:hAnsi="Times New Roman"/>
            <w:color w:val="1155CC"/>
            <w:sz w:val="22"/>
            <w:szCs w:val="22"/>
            <w:u w:val="single"/>
          </w:rPr>
          <w:t xml:space="preserve">La Finance pour Tous — OPC (fonds : monétaires, obligataires, actions)</w:t>
        </w:r>
      </w:hyperlink>
    </w:p>
    <w:p>
      <w:pPr>
        <w:pStyle w:val="ListParagraph"/>
        <w:numPr>
          <w:ilvl w:val="0"/>
          <w:numId w:val="1"/>
        </w:numPr>
        <w:spacing w:after="80"/>
      </w:pPr>
      <w:hyperlink w:history="1" r:id="rId8hgdqad4vs5akgy1jtizb">
        <w:r>
          <w:rPr>
            <w:rFonts w:ascii="Times New Roman" w:cs="Times New Roman" w:eastAsia="Times New Roman" w:hAnsi="Times New Roman"/>
            <w:color w:val="1155CC"/>
            <w:sz w:val="22"/>
            <w:szCs w:val="22"/>
            <w:u w:val="single"/>
          </w:rPr>
          <w:t xml:space="preserve">AMF — Espace épargnants (alertes et guides officiels)</w:t>
        </w:r>
      </w:hyperlink>
    </w:p>
    <w:p>
      <w:pPr>
        <w:spacing w:after="120"/>
      </w:pPr>
      <w:r>
        <w:rPr>
          <w:rFonts w:ascii="Times New Roman" w:cs="Times New Roman" w:eastAsia="Times New Roman" w:hAnsi="Times New Roman"/>
          <w:color w:val="1F2937"/>
          <w:sz w:val="22"/>
          <w:szCs w:val="22"/>
        </w:rPr>
        <w:t xml:space="preserve">⛔ Sources inaccessibles en mode headless ce jour : AMF comprendre-les-produits-financiers (404), ABE Info Service (403), economie.gouv.fr/placements-obligation (403). Contenu assuré par les sources disponibles ci-dessus.</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Pour aller plus loin avec un professionnel agréé</w:t>
      </w:r>
    </w:p>
    <w:p>
      <w:pPr>
        <w:spacing w:after="120"/>
      </w:pPr>
      <w:r>
        <w:rPr>
          <w:rFonts w:ascii="Times New Roman" w:cs="Times New Roman" w:eastAsia="Times New Roman" w:hAnsi="Times New Roman"/>
          <w:color w:val="1F2937"/>
          <w:sz w:val="22"/>
          <w:szCs w:val="22"/>
        </w:rPr>
        <w:t xml:space="preserve">Questions concrètes à poser à un CGP ou CIF agréé par l'AMF lors de ton prochain rendez-vous :</w:t>
      </w:r>
    </w:p>
    <w:p>
      <w:pPr>
        <w:pStyle w:val="ListParagraph"/>
        <w:numPr>
          <w:ilvl w:val="0"/>
          <w:numId w:val="1"/>
        </w:numPr>
        <w:spacing w:after="80"/>
      </w:pPr>
      <w:r>
        <w:rPr>
          <w:rFonts w:ascii="Times New Roman" w:cs="Times New Roman" w:eastAsia="Times New Roman" w:hAnsi="Times New Roman"/>
          <w:color w:val="1F2937"/>
          <w:sz w:val="22"/>
          <w:szCs w:val="22"/>
        </w:rPr>
        <w:t xml:space="preserve">« Sur mon horizon de 7–8 ans, quelle répartition entre classes d'actifs recommandez-vous, et comment envisagez-vous la sécurisation progressive à l'approche de l'échéance ? »</w:t>
      </w:r>
    </w:p>
    <w:p>
      <w:pPr>
        <w:pStyle w:val="ListParagraph"/>
        <w:numPr>
          <w:ilvl w:val="0"/>
          <w:numId w:val="1"/>
        </w:numPr>
        <w:spacing w:after="80"/>
      </w:pPr>
      <w:r>
        <w:rPr>
          <w:rFonts w:ascii="Times New Roman" w:cs="Times New Roman" w:eastAsia="Times New Roman" w:hAnsi="Times New Roman"/>
          <w:color w:val="1F2937"/>
          <w:sz w:val="22"/>
          <w:szCs w:val="22"/>
        </w:rPr>
        <w:t xml:space="preserve">« Quelle part d'immobilier (SCPI notamment) serait cohérente avec mon horizon, compte tenu des frais d'entrée et de la liquidité limitée de ce type de placement ? »</w:t>
      </w:r>
    </w:p>
    <w:p>
      <w:pPr>
        <w:pStyle w:val="ListParagraph"/>
        <w:numPr>
          <w:ilvl w:val="0"/>
          <w:numId w:val="1"/>
        </w:numPr>
        <w:spacing w:after="80"/>
      </w:pPr>
      <w:r>
        <w:rPr>
          <w:rFonts w:ascii="Times New Roman" w:cs="Times New Roman" w:eastAsia="Times New Roman" w:hAnsi="Times New Roman"/>
          <w:color w:val="1F2937"/>
          <w:sz w:val="22"/>
          <w:szCs w:val="22"/>
        </w:rPr>
        <w:t xml:space="preserve">« Pour la part obligataire, préconisez-vous des obligations directes, des fonds obligataires ou des fonds euros en assurance-vie ? Quels sont les avantages et inconvénients de chaque approche dans mon cas ? »</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Prochaine leçon — L4</w:t>
      </w:r>
    </w:p>
    <w:p>
      <w:pPr>
        <w:spacing w:after="120"/>
      </w:pPr>
      <w:r>
        <w:rPr>
          <w:rFonts w:ascii="Times New Roman" w:cs="Times New Roman" w:eastAsia="Times New Roman" w:hAnsi="Times New Roman"/>
          <w:color w:val="1F2937"/>
          <w:sz w:val="22"/>
          <w:szCs w:val="22"/>
        </w:rPr>
        <w:t xml:space="preserve">Thème : Intérêts composés, inflation et rendement réel</w:t>
      </w:r>
    </w:p>
    <w:p>
      <w:pPr>
        <w:spacing w:after="120"/>
      </w:pPr>
      <w:r>
        <w:rPr>
          <w:rFonts w:ascii="Times New Roman" w:cs="Times New Roman" w:eastAsia="Times New Roman" w:hAnsi="Times New Roman"/>
          <w:color w:val="1F2937"/>
          <w:sz w:val="22"/>
          <w:szCs w:val="22"/>
        </w:rPr>
        <w:t xml:space="preserve">Tu apprendras à calculer l'effet du temps sur la valorisation d'un capital (règle des 72, formule des intérêts composés), à mesurer l'érosion monétaire liée à l'inflation, et à distinguer le rendement nominal du rendement réel. La L4 donnera du sens aux chiffres de rendement abordés dans cette leçon.</w:t>
      </w:r>
      <w:r>
        <w:rPr>
          <w:rFonts w:ascii="Times New Roman" w:cs="Times New Roman" w:eastAsia="Times New Roman" w:hAnsi="Times New Roman"/>
          <w:i/>
          <w:iCs/>
          <w:color w:val="6B7280"/>
          <w:sz w:val="20"/>
          <w:szCs w:val="20"/>
        </w:rPr>
        <w:t xml:space="preserve"> Thèmes annoncés : intérêts composés, règle des 72, inflation, érosion monétaire, rendement nominal, rendement réel.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p>
      <w:r>
        <w:t xml:space="preserve"/>
      </w:r>
    </w:p>
    <w:p>
      <w:pPr>
        <w:spacing w:before="300"/>
        <w:jc w:val="center"/>
      </w:pPr>
      <w:r>
        <w:rPr>
          <w:rFonts w:ascii="Times New Roman" w:cs="Times New Roman" w:eastAsia="Times New Roman" w:hAnsi="Times New Roman"/>
          <w:i/>
          <w:iCs/>
          <w:color w:val="9CA3AF"/>
          <w:sz w:val="16"/>
          <w:szCs w:val="16"/>
        </w:rPr>
        <w:t xml:space="preserve">Parcours Placement financier — Leçon 3/16 — Usage personnel uniquement — Ne constitue pas un conseil en investissement</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Une reformulation sous guillemets, et la page disait plus précis.</w:t>
      </w:r>
      <w:r>
        <w:rPr>
          <w:rFonts w:ascii="Times New Roman" w:cs="Times New Roman" w:eastAsia="Times New Roman" w:hAnsi="Times New Roman"/>
          <w:color w:val="1F2937"/>
          <w:sz w:val="22"/>
          <w:szCs w:val="22"/>
        </w:rPr>
        <w:t xml:space="preserve"> La phrase « Les obligations constituent un investissement de moyen et long terme » (formulation d'origine, retirée) était prêtée à La Finance pour Tous : les deux pages obligations listées, rouvertes le 26/09/2026, ne contiennent ni l'expression moyen et long terme ni l'expression revenu régulier. Remplacée par deux phrases réellement présentes, qui disent plus précisément la même chose : « un horizon de cinq ans et plus », et « des revenus réguliers et sûrs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mjx_wbtzwz42s70kqzci" Type="http://schemas.openxmlformats.org/officeDocument/2006/relationships/hyperlink" Target="https://www.lafinancepourtous.com/pratique/placements/actions-3/" TargetMode="External"/><Relationship Id="rIdeflj4ytp1o5oaoqso4fjr" Type="http://schemas.openxmlformats.org/officeDocument/2006/relationships/hyperlink" Target="https://www.lafinancepourtous.com/pratique/placements/obligations/qu-est-ce-qu-une-obligation/" TargetMode="External"/><Relationship Id="rId5mmcmuk7i7ywxno96pmr2" Type="http://schemas.openxmlformats.org/officeDocument/2006/relationships/hyperlink" Target="https://www.lafinancepourtous.com/pratique/placements/obligations/est-ce-un-produit-pour-moi/" TargetMode="External"/><Relationship Id="rIdkvjlt8lcbescafngykcd9" Type="http://schemas.openxmlformats.org/officeDocument/2006/relationships/hyperlink" Target="https://www.lafinancepourtous.com/outils/dictionnaire/classes-dactifs/" TargetMode="External"/><Relationship Id="rId05fapouwntvyczm--xgnj" Type="http://schemas.openxmlformats.org/officeDocument/2006/relationships/hyperlink" Target="https://www.lafinancepourtous.com/pratique/placements/livrets-reglementes/les-livrets-depargne-reglementee-en-bref/" TargetMode="External"/><Relationship Id="rIdvsz5bmaqek3toa9wxpvof" Type="http://schemas.openxmlformats.org/officeDocument/2006/relationships/hyperlink" Target="https://www.lafinancepourtous.com/pratique/placements/produits-de-gestion-collective-opc/que-sont-les-opc/" TargetMode="External"/><Relationship Id="rId8hgdqad4vs5akgy1jtizb" Type="http://schemas.openxmlformats.org/officeDocument/2006/relationships/hyperlink" Target="https://www.amf-france.org/fr/espace-epargnant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2026-06-27T06:07:23.084Z</dcterms:created>
  <dcterms:modified xsi:type="dcterms:W3CDTF">2026-06-27T06:07:23.096Z</dcterms:modified>
</cp:coreProperties>
</file>

<file path=docProps/custom.xml><?xml version="1.0" encoding="utf-8"?>
<Properties xmlns="http://schemas.openxmlformats.org/officeDocument/2006/custom-properties" xmlns:vt="http://schemas.openxmlformats.org/officeDocument/2006/docPropsVTypes"/>
</file>