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AI Act — Compte-rendu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4 septembre 2026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Fenêtre couverte : 28 août → 4 septembre 2026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D97706"/>
          <w:sz w:val="28"/>
          <w:szCs w:val="28"/>
        </w:rPr>
        <w:t xml:space="preserve">🟡  Niveau d'alerte : À surveiller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📋 Révision de la note précédente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Note précédente : 29/08/2026. Résumé de fiche consulté — aucune inexactitude identifiée. La note du 29/08 avait elle-même corrigé cinq points de l'édition du 19/07 (date du CADA, lignes directrices CEPD, référence du règlement 2026/1744, périmètre art. 50). Aucune correction à apporter à cette édition.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Conseil de l'UE (28/08/2026) : document de travail CM 3635/26 sur les compétences et aptitudes pour l'IA — en lien direct avec l'obligation de littératie IA (art. 4, en vigueur depuis le 2/08/2026).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IAPP (28/08–03/09/2026) : quatre articles publiés dans la fenêtre — gouvernance IA en entreprise, chatbots médicaux et alignement RGPD/AI Act, IA et droits d'auteur dans les secteurs créatifs, CRA/NIS2 et notifications d'incidents.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CNIL : aucune publication dans la fenêtre stricte 28/08–04/09. Dernière publication : 26/08 (outil de traçabilité des modèles open source, hors fenêtre).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Autorités nationales françaises : désignation toujours non finalisée au 04/09/2026. Le DPO reste l'interlocuteur pratique pour un ESSMS.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Prochaine échéance critique : 2 décembre 2026 — fin de la période transitoire (art. 50 §2) pour les systèmes génératifs mis sur le marché avant le 2/08/2026.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Échéances réglementaires à venir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Source : AI Act Service Desk, consulté le 04/09/2026.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✅ 2 août 2026 (PASSÉ) — Obligations de transparence (art. 50) + littératie IA (art. 4) en vigueur. Régime de sanctions ACTIF : jusqu'à 35 M€ ou 7 % du CA mondial pour les pratiques interdites ; 15 M€ ou 3 % pour transparence et GPAI.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⏳ 2 décembre 2026 (J-89) — Fin de la période transitoire art. 50 §2 pour les systèmes génératifs commercialisés avant le 2/08/2026. Interdiction des hypertrucages sexuels non consentis et du CSAM.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août 2027 — Au moins 1 bac à sable IA opérationnel par État membre.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décembre 2027 — Application aux systèmes à haut risque (Annexe III).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août 2028 — Application aux systèmes intégrés dans des produits réglementés (Annexe I).</w:t>
      </w:r>
    </w:p>
    <w:p>
      <w:pPr>
        <w:spacing w:after="6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Texte de référence : règlement (UE) 2024/1689 tel que modifié par le règlement (UE) 2026/1744 du 8 juillet 2026 (AI Omnibus), publié au JOUE le 24/07/2026, en vigueur le 27/07/2026.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Actualité officielle UE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Commission européenne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Page consultée : digital-strategy.ec.europa.eu/en/policies/regulatory-framework-ai (HTTP 200, màj 03/08/2026). Aucune publication nouvelle dans la fenêtre. Page de référence statique pour la présentation du règlement et de l'AI Office.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Conseil de l'Union européenne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28/08/2026 — </w:t>
      </w:r>
      <w:hyperlink w:history="1" r:id="rIdfzfyfgpyfi5rdcmtopy9h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CM 3635/26 — Draft Council Conclusions on skills and competences for AI (PDF)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Document de travail sur les compétences et aptitudes nécessaires à une utilisation responsable de l'IA (entreprises, secteur public, individus). En lien direct avec l'art. 4 AI Act (obligation de littératie IA des déployeurs, en vigueur depuis le 2/08/2026). [⚠️ Page principale consilium.europa.eu inaccessible (403) — PDF vérifié accessible via data.consilium.europa.eu (HTTP 200)]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AI Act Service Desk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Page de référence consultée : </w:t>
      </w:r>
      <w:hyperlink w:history="1" r:id="rIdwjc3wjoc__z-szry6guh2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Timeline d'implémentation de l'AI Act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Calendrier officiel confirmé (voir section Échéances).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📰 Analyses &amp; gouvernance (IAPP)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Source : iapp.org/news, consulté le 04/09/2026 (HTTP 200). Quatre articles dans la fenêtre. ⚠️ Les articles marqués [MEMBER] requièrent un abonnement IAPP : titre, date et thème disponibles — corps non lu. Les articles [LIBRE] sont accessibles sans authentification (isAccessibleForFree: true vérifié) mais leur corps n'a pas été reproduit dans cette note.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02/09/2026 [LIBRE] — </w:t>
      </w:r>
      <w:hyperlink w:history="1" r:id="rIdahwztqbbvr2sw5ynilqcr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The CISO's New Privacy Mandate in Enterprise AI Governance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Great Gu. Thème (d'après le titre) : le repositionnement du RSSI (CISO) comme acteur central de la conformité IA en entreprise. Angle pertinent pour les directions d'ESSMS articulant DPO et référent numérique.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02/09/2026 [MEMBER] — </w:t>
      </w:r>
      <w:hyperlink w:history="1" r:id="rIdi0wtuw-izotboifwczfsa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Patient Rights and AI Medical Chatbots: GDPR and EU AI Act Alignment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Xiting Li. Thème (d'après le titre) : alignement RGPD/AI Act pour les chatbots IA médicaux. Directement pertinent pour les ESSMS envisageant des outils conversationnels. [Corps non accessible — titre et thème uniquement]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03/09/2026 [LIBRE] — </w:t>
      </w:r>
      <w:hyperlink w:history="1" r:id="rIdqkucxjcckbb1qvxllsyeg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 View from Brussels: Creative and AI, a Case of David and Goliath?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Isabelle Roccia. Thème (d'après le titre) : tension entre IA générative et secteurs créatifs (droits d'auteur, propriété intellectuelle). Impact indirect pour les ESSMS produisant des contenus de formation avec des outils IA.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28/08/2026 [MEMBER] — </w:t>
      </w:r>
      <w:hyperlink w:history="1" r:id="rId7w9zosnahlpatm7qqvkv-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Four Clocks, One Incident: What the CRA Adds to EU Incident Notifications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Georgia Chatzitheodorou. Thème (d'après le titre) : articulation des quatre régimes de notification d'incidents (CRA, NIS2, RGPD, DORA). Signal à surveiller pour les établissements utilisant des systèmes numériques connectés. [Corps non accessible — titre et thème uniquement]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🇫🇷 Perspective française (CNIL/RGPD)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Aucune publication CNIL dans la fenêtre stricte 28/08–04/09/2026. Deux rappels hors fenêtre 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26/08/2026 (hors fenêtre de 2 jours) — CNIL : mise à jour de l'outil de traçabilité des modèles IA publiés en source ouverte (démonstrateur de généalogie des modèles). Utile pour documenter l'origine des outils IA utilisés dans l'établissement.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17/08/2026 (hors fenêtre) — Mise à jour de la page </w:t>
      </w:r>
      <w:hyperlink w:history="1" r:id="rIdbzpux9svvt14mei_8z0w7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 Q&amp;R sur l'entrée en vigueur du règlement IA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: articulation RGPD / AI Act clarifiée — les deux règlements s'appliquent simultanément pour les systèmes IA à haut risque traitant des données personnelles ; le déployeur peut s'appuyer sur l'AIPD du fournisseur (art. 26 et 27).</w:t>
      </w:r>
    </w:p>
    <w:p>
      <w:pPr>
        <w:spacing w:after="6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Autorités nationales françaises : désignation toujours non finalisée au 04/09/2026 (volet numérique du DDADUE en navette parlementaire). Cette absence ne suspend aucune obligation. L'interlocuteur de fait pour un ESSMS reste la CNIL via son DPO.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Impacts pour les ESSMS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Littératie IA (art. 4) — action requise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Obligation en vigueur depuis le 2/08/2026. Le CM 3635/26 du Conseil (28/08) confirme que les institutions investissent dans des cadres de compétences IA. Pour les 12 professionnels des deux équipes : tracer une formation courte (contenu, date, émargement). Un module intégré au plan de formation annuel suffit, mais la trace doit exister avant toute évaluation.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Chatbots IA et données médico-sociales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L'article IAPP du 02/09 (thème : RGPD/AI Act pour chatbots médicaux) rappelle la pertinence de ce périmètre. Pour un ESSMS : recenser tout outil conversationnel ou d'assistance à la rédaction utilisé dans l'accompagnement ou la communication avec les familles. Ces outils pourraient relever de la catégorie haut risque (Annexe III §5 — services essentiels), applicable au 2/12/2027.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Transparence (art. 50) — rappel opérationnel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L'obligation de divulgation vise trois cas précis : hypertrucages, textes d'intérêt public publiés sans revue humaine, et reconnaissance des émotions/catégorisation biométrique. Un compte-rendu ou une évaluation rédigés avec l'aide d'une IA puis relus et validés par un professionnel n'entrent pas dans ce champ. En revanche : une page d'actualités alimentée automatiquement ou un chatbot famililles, oui.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Gouvernance numérique — DPO et référent IA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L'émergence du rôle de gouvernance IA (CISO) dans les organisations illustre une tendance à anticiper dans les ESSMS. Le DPO existant peut absorber ce rôle. À intégrer dans le projet d'établissement et dans la préparation de l'évaluation HAS (critères de gouvernance du numérique).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Production de contenus avec outils IA (droits d'auteur)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L'article IAPP du 03/09 (IA et secteurs créatifs) rappelle les enjeux de propriété intellectuelle. Pour un ESSMS produisant des supports de formation ou de communication avec des outils IA : vérifier la politique d'attribution du prestataire utilisé.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✅ </w:t>
      </w:r>
      <w:hyperlink w:history="1" r:id="rId8sifpzajnupwuimg0z8it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AI Act Service Desk — Timeline d'implémentation de l'AI Act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Consulté le 04/09/2026 — timeline reprise dans section Échéances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✅ </w:t>
      </w:r>
      <w:hyperlink w:history="1" r:id="rIdeiki_rfih0jixgwlxhe3o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IAPP — iapp.org/news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Consulté le 04/09/2026 — 4 articles cités dans Analyses &amp; gouvernance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✅ </w:t>
      </w:r>
      <w:hyperlink w:history="1" r:id="rIdokmciesahndhfjlfxyy9e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 — Q&amp;R sur l'entrée en vigueur du règlement européen sur l'IA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Mise à jour 17/08/2026 — repris dans Perspective française (hors fenêtre)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Consultée, sans élément nouveau dans la fenêtre </w:t>
      </w:r>
      <w:hyperlink w:history="1" r:id="rIddsnnayu8h6bndwgqumh5-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Commission européenne — Cadre réglementaire IA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Dernière màj : 03/08/2026 — page statique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Consultée, sans élément nouveau dans la fenêtre </w:t>
      </w:r>
      <w:hyperlink w:history="1" r:id="rIdovwjuugw05mwgapxvpsey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 — Page Intelligence artificielle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Dernière publication : 26/08/2026 (hors fenêtre stricte)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⚠️ (PDF accessible) </w:t>
      </w:r>
      <w:hyperlink w:history="1" r:id="rIdrwvohnafpaw7ndfr_jxhw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Conseil de l'UE — Communiqués de presse / CM 3635/26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Page principale 403 — CM 3635/26 cité via WebSearch + PDF data.consilium.europa.eu (HTTP 200)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⛔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artificialintelligenceact.eu (Future of Life Institute)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Source morte — rendu JavaScript côté client, non extractible en headless (constaté juillet et août 2026, ne plus tenter)</w:t>
      </w:r>
    </w:p>
    <w:p>
      <w:pPr>
        <w:spacing w:after="6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Décompte : 3 ✅ (exploitées avec contenu repris dans le corps) + 2 consultées sans nouveauté + 1 ⚠️ (403, données via WebSearch + PDF) + 1 ⛔ — sur 7 sources documentaires tentées. EUR-Lex non directement interrogée dans cette exécution — les références réglementaires (règl. 2024/1689 et 2026/1744) proviennent des sources ✅ ci-dessus.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décembre 2026 (J-89) — Fin période transitoire art. 50 §2 : vérifier la conformité de tout outil IA générative utilisé en production avant le 2/08/2026.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Désignation officielle des autorités nationales françaises — suivre les annonces du Gouvernement et de la CNIL (volet numérique du DDADUE).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Lignes directrices de la Commission européenne sur l'art. 50 — attendues avant le 2/12/2026, aucune publication dans la fenêtre.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Article IAPP du 02/09 sur les chatbots médicaux (MEMBER) : à lire intégralement si accès IAPP disponible.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Guide HAS / CNIL "Accompagner le bon usage des systèmes d'intelligence artificielle en contexte de soins" (février 2026) : ressource sectorielle à mobiliser pour l'évaluation HAS (critères gouvernance numérique).</w:t>
      </w:r>
    </w:p>
    <w:p>
      <w:pPr>
        <w:spacing w:before="50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Job ai-act-veille | Claude Code — Veille hebdomadaire automatisée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zfyfgpyfi5rdcmtopy9h" Type="http://schemas.openxmlformats.org/officeDocument/2006/relationships/hyperlink" Target="https://data.consilium.europa.eu/doc/document/CM-3635-2026-INIT/en/pdf" TargetMode="External"/><Relationship Id="rIdwjc3wjoc__z-szry6guh2" Type="http://schemas.openxmlformats.org/officeDocument/2006/relationships/hyperlink" Target="https://ai-act-service-desk.ec.europa.eu/en/ai-act/timeline/timeline-implementation-eu-ai-act" TargetMode="External"/><Relationship Id="rIdahwztqbbvr2sw5ynilqcr" Type="http://schemas.openxmlformats.org/officeDocument/2006/relationships/hyperlink" Target="https://iapp.org/news/a/the-ciso-s-new-privacy-mandate-in-enterprise-ai-governance" TargetMode="External"/><Relationship Id="rIdi0wtuw-izotboifwczfsa" Type="http://schemas.openxmlformats.org/officeDocument/2006/relationships/hyperlink" Target="https://iapp.org/news/a/patient-rights-and-ai-medical-chatbots-alignment-between-the-gdpr-and-eu-ai-act" TargetMode="External"/><Relationship Id="rIdqkucxjcckbb1qvxllsyeg" Type="http://schemas.openxmlformats.org/officeDocument/2006/relationships/hyperlink" Target="https://iapp.org/news/a/a-view-from-brussels-creative-and-ai-a-case-of-david-and-goliath" TargetMode="External"/><Relationship Id="rId7w9zosnahlpatm7qqvkv-" Type="http://schemas.openxmlformats.org/officeDocument/2006/relationships/hyperlink" Target="https://iapp.org/news/a/four-clocks-one-incident-what-the-cra-adds-to-eu-incident-notifications" TargetMode="External"/><Relationship Id="rIdbzpux9svvt14mei_8z0w7" Type="http://schemas.openxmlformats.org/officeDocument/2006/relationships/hyperlink" Target="https://www.cnil.fr/fr/entree-en-vigueur-du-reglement-europeen-sur-lia-les-premieres-questions-reponses-de-la-cnil" TargetMode="External"/><Relationship Id="rId8sifpzajnupwuimg0z8it" Type="http://schemas.openxmlformats.org/officeDocument/2006/relationships/hyperlink" Target="https://ai-act-service-desk.ec.europa.eu/en/ai-act/timeline/timeline-implementation-eu-ai-act" TargetMode="External"/><Relationship Id="rIdeiki_rfih0jixgwlxhe3o" Type="http://schemas.openxmlformats.org/officeDocument/2006/relationships/hyperlink" Target="https://iapp.org/news/" TargetMode="External"/><Relationship Id="rIdokmciesahndhfjlfxyy9e" Type="http://schemas.openxmlformats.org/officeDocument/2006/relationships/hyperlink" Target="https://www.cnil.fr/fr/entree-en-vigueur-du-reglement-europeen-sur-lia-les-premieres-questions-reponses-de-la-cnil" TargetMode="External"/><Relationship Id="rIddsnnayu8h6bndwgqumh5-" Type="http://schemas.openxmlformats.org/officeDocument/2006/relationships/hyperlink" Target="https://digital-strategy.ec.europa.eu/en/policies/regulatory-framework-ai" TargetMode="External"/><Relationship Id="rIdovwjuugw05mwgapxvpsey" Type="http://schemas.openxmlformats.org/officeDocument/2006/relationships/hyperlink" Target="https://www.cnil.fr/fr/intelligence-artificielle" TargetMode="External"/><Relationship Id="rIdrwvohnafpaw7ndfr_jxhw" Type="http://schemas.openxmlformats.org/officeDocument/2006/relationships/hyperlink" Target="https://data.consilium.europa.eu/doc/document/CM-3635-2026-INIT/en/pdf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2026-09-04T07:13:22.093Z</dcterms:created>
  <dcterms:modified xsi:type="dcterms:W3CDTF">2026-09-04T07:13:22.112Z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