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Dzogchen n°13</w:t>
      </w:r>
    </w:p>
    <w:p>
      <w:pPr>
        <w:pStyle w:val="Heading1"/>
        <w:spacing w:after="200"/>
        <w:jc w:val="center"/>
      </w:pPr>
      <w:r>
        <w:rPr>
          <w:rFonts w:ascii="Times New Roman" w:cs="Times New Roman" w:eastAsia="Times New Roman" w:hAnsi="Times New Roman"/>
          <w:b/>
          <w:bCs/>
          <w:color w:val="1B3A6B"/>
          <w:sz w:val="52"/>
          <w:szCs w:val="52"/>
        </w:rPr>
        <w:t xml:space="preserve">Les bardos et le processus de la mort</w:t>
      </w:r>
    </w:p>
    <w:p>
      <w:pPr>
        <w:spacing w:after="80"/>
        <w:jc w:val="center"/>
      </w:pPr>
      <w:r>
        <w:rPr>
          <w:rFonts w:ascii="Times New Roman" w:cs="Times New Roman" w:eastAsia="Times New Roman" w:hAnsi="Times New Roman"/>
          <w:i/>
          <w:iCs/>
          <w:color w:val="6B7280"/>
          <w:sz w:val="20"/>
          <w:szCs w:val="20"/>
        </w:rPr>
        <w:t xml:space="preserve">25 août 2026  ·  Leçon 13 / 20</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la fin de cette leçon, tu sauras nommer et situer les six bardos dans la cosmologie dzogchen, comprendre comment la pratique de trekchö et de tögal prépare le praticien à reconnaître la claire lumière à la mort, et initier des pratiques de contemplation quotidienne qui anticipent le processus de dissolution.</w:t>
      </w:r>
    </w:p>
    <w:p>
      <w:pPr>
        <w:spacing w:after="120"/>
      </w:pPr>
      <w:r>
        <w:rPr>
          <w:rFonts w:ascii="Times New Roman" w:cs="Times New Roman" w:eastAsia="Times New Roman" w:hAnsi="Times New Roman"/>
          <w:color w:val="1F2937"/>
          <w:sz w:val="22"/>
          <w:szCs w:val="22"/>
        </w:rPr>
        <w:t xml:space="preserve">Continuité avec la leçon 12 : tu as exploré les </w:t>
      </w:r>
      <w:r>
        <w:rPr>
          <w:rFonts w:ascii="Times New Roman" w:cs="Times New Roman" w:eastAsia="Times New Roman" w:hAnsi="Times New Roman"/>
          <w:b/>
          <w:bCs/>
          <w:color w:val="1F2937"/>
          <w:sz w:val="22"/>
          <w:szCs w:val="22"/>
        </w:rPr>
        <w:t xml:space="preserve">quatre visions du tögal</w:t>
      </w:r>
      <w:r>
        <w:rPr>
          <w:rFonts w:ascii="Times New Roman" w:cs="Times New Roman" w:eastAsia="Times New Roman" w:hAnsi="Times New Roman"/>
          <w:color w:val="1F2937"/>
          <w:sz w:val="22"/>
          <w:szCs w:val="22"/>
        </w:rPr>
        <w:t xml:space="preserve"> — lumières et formes spontanées de la nature de l'esprit. Ces visions sont exactement ce que le mourant rencontre dans le chönyid bardo. La leçon 13 est donc le prolongement naturel : de la pratique tögal vivante à la mort tögal inévitable.</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Les six bardos : une cartographie de la conscience</w:t>
      </w:r>
    </w:p>
    <w:p>
      <w:pPr>
        <w:spacing w:after="120"/>
      </w:pPr>
      <w:r>
        <w:rPr>
          <w:rFonts w:ascii="Times New Roman" w:cs="Times New Roman" w:eastAsia="Times New Roman" w:hAnsi="Times New Roman"/>
          <w:color w:val="1F2937"/>
          <w:sz w:val="22"/>
          <w:szCs w:val="22"/>
        </w:rPr>
        <w:t xml:space="preserve">Le terme tibétain bardo (བར་དོ་) signifie littéralement « entre les deux » : tout état de transition, toute suspension entre deux phases. Dans la classification tibétaine classique, on en dénombre six :</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Bardo</w:t>
            </w:r>
          </w:p>
        </w:tc>
        <w:tc>
          <w:tcPr>
            <w:shd w:fill="1B3A6B" w:val="clear"/>
          </w:tcPr>
          <w:p>
            <w:r>
              <w:rPr>
                <w:rFonts w:ascii="Times New Roman" w:cs="Times New Roman" w:eastAsia="Times New Roman" w:hAnsi="Times New Roman"/>
                <w:b/>
                <w:bCs/>
                <w:color w:val="FFFFFF"/>
                <w:sz w:val="20"/>
                <w:szCs w:val="20"/>
              </w:rPr>
              <w:t xml:space="preserve">Tibétain</w:t>
            </w:r>
          </w:p>
        </w:tc>
        <w:tc>
          <w:tcPr>
            <w:shd w:fill="1B3A6B" w:val="clear"/>
          </w:tcPr>
          <w:p>
            <w:r>
              <w:rPr>
                <w:rFonts w:ascii="Times New Roman" w:cs="Times New Roman" w:eastAsia="Times New Roman" w:hAnsi="Times New Roman"/>
                <w:b/>
                <w:bCs/>
                <w:color w:val="FFFFFF"/>
                <w:sz w:val="20"/>
                <w:szCs w:val="20"/>
              </w:rPr>
              <w:t xml:space="preserve">Moment</w:t>
            </w:r>
          </w:p>
        </w:tc>
        <w:tc>
          <w:tcPr>
            <w:shd w:fill="1B3A6B" w:val="clear"/>
          </w:tcPr>
          <w:p>
            <w:r>
              <w:rPr>
                <w:rFonts w:ascii="Times New Roman" w:cs="Times New Roman" w:eastAsia="Times New Roman" w:hAnsi="Times New Roman"/>
                <w:b/>
                <w:bCs/>
                <w:color w:val="FFFFFF"/>
                <w:sz w:val="20"/>
                <w:szCs w:val="20"/>
              </w:rPr>
              <w:t xml:space="preserve">Opportunité de libération</w:t>
            </w:r>
          </w:p>
        </w:tc>
      </w:tr>
      <w:tr>
        <w:tc>
          <w:tcPr>
            <w:shd w:fill="FFFFFF" w:val="clear"/>
          </w:tcPr>
          <w:p>
            <w:r>
              <w:rPr>
                <w:rFonts w:ascii="Times New Roman" w:cs="Times New Roman" w:eastAsia="Times New Roman" w:hAnsi="Times New Roman"/>
                <w:sz w:val="20"/>
                <w:szCs w:val="20"/>
              </w:rPr>
              <w:t xml:space="preserve">1. Vie ordinaire</w:t>
            </w:r>
          </w:p>
        </w:tc>
        <w:tc>
          <w:tcPr>
            <w:shd w:fill="FFFFFF" w:val="clear"/>
          </w:tcPr>
          <w:p>
            <w:r>
              <w:rPr>
                <w:rFonts w:ascii="Times New Roman" w:cs="Times New Roman" w:eastAsia="Times New Roman" w:hAnsi="Times New Roman"/>
                <w:i/>
                <w:iCs/>
                <w:sz w:val="20"/>
                <w:szCs w:val="20"/>
              </w:rPr>
              <w:t xml:space="preserve">Kyenay bardo</w:t>
            </w:r>
          </w:p>
        </w:tc>
        <w:tc>
          <w:tcPr>
            <w:shd w:fill="FFFFFF" w:val="clear"/>
          </w:tcPr>
          <w:p>
            <w:r>
              <w:rPr>
                <w:rFonts w:ascii="Times New Roman" w:cs="Times New Roman" w:eastAsia="Times New Roman" w:hAnsi="Times New Roman"/>
                <w:sz w:val="20"/>
                <w:szCs w:val="20"/>
              </w:rPr>
              <w:t xml:space="preserve">De la naissance à la mort</w:t>
            </w:r>
          </w:p>
        </w:tc>
        <w:tc>
          <w:tcPr>
            <w:shd w:fill="FFFFFF" w:val="clear"/>
          </w:tcPr>
          <w:p>
            <w:r>
              <w:rPr>
                <w:rFonts w:ascii="Times New Roman" w:cs="Times New Roman" w:eastAsia="Times New Roman" w:hAnsi="Times New Roman"/>
                <w:sz w:val="20"/>
                <w:szCs w:val="20"/>
              </w:rPr>
              <w:t xml:space="preserve">Reconnaissance de rigpa dans la vie éveillée</w:t>
            </w:r>
          </w:p>
        </w:tc>
      </w:tr>
      <w:tr>
        <w:tc>
          <w:tcPr>
            <w:shd w:fill="EEF2F7" w:val="clear"/>
          </w:tcPr>
          <w:p>
            <w:r>
              <w:rPr>
                <w:rFonts w:ascii="Times New Roman" w:cs="Times New Roman" w:eastAsia="Times New Roman" w:hAnsi="Times New Roman"/>
                <w:sz w:val="20"/>
                <w:szCs w:val="20"/>
              </w:rPr>
              <w:t xml:space="preserve">2. Rêve</w:t>
            </w:r>
          </w:p>
        </w:tc>
        <w:tc>
          <w:tcPr>
            <w:shd w:fill="EEF2F7" w:val="clear"/>
          </w:tcPr>
          <w:p>
            <w:r>
              <w:rPr>
                <w:rFonts w:ascii="Times New Roman" w:cs="Times New Roman" w:eastAsia="Times New Roman" w:hAnsi="Times New Roman"/>
                <w:i/>
                <w:iCs/>
                <w:sz w:val="20"/>
                <w:szCs w:val="20"/>
              </w:rPr>
              <w:t xml:space="preserve">Milam bardo</w:t>
            </w:r>
          </w:p>
        </w:tc>
        <w:tc>
          <w:tcPr>
            <w:shd w:fill="EEF2F7" w:val="clear"/>
          </w:tcPr>
          <w:p>
            <w:r>
              <w:rPr>
                <w:rFonts w:ascii="Times New Roman" w:cs="Times New Roman" w:eastAsia="Times New Roman" w:hAnsi="Times New Roman"/>
                <w:sz w:val="20"/>
                <w:szCs w:val="20"/>
              </w:rPr>
              <w:t xml:space="preserve">Pendant le sommeil</w:t>
            </w:r>
          </w:p>
        </w:tc>
        <w:tc>
          <w:tcPr>
            <w:shd w:fill="EEF2F7" w:val="clear"/>
          </w:tcPr>
          <w:p>
            <w:r>
              <w:rPr>
                <w:rFonts w:ascii="Times New Roman" w:cs="Times New Roman" w:eastAsia="Times New Roman" w:hAnsi="Times New Roman"/>
                <w:sz w:val="20"/>
                <w:szCs w:val="20"/>
              </w:rPr>
              <w:t xml:space="preserve">Pratique du yoga du rêve (dream yoga)</w:t>
            </w:r>
          </w:p>
        </w:tc>
      </w:tr>
      <w:tr>
        <w:tc>
          <w:tcPr>
            <w:shd w:fill="FFFFFF" w:val="clear"/>
          </w:tcPr>
          <w:p>
            <w:r>
              <w:rPr>
                <w:rFonts w:ascii="Times New Roman" w:cs="Times New Roman" w:eastAsia="Times New Roman" w:hAnsi="Times New Roman"/>
                <w:sz w:val="20"/>
                <w:szCs w:val="20"/>
              </w:rPr>
              <w:t xml:space="preserve">3. Méditation</w:t>
            </w:r>
          </w:p>
        </w:tc>
        <w:tc>
          <w:tcPr>
            <w:shd w:fill="FFFFFF" w:val="clear"/>
          </w:tcPr>
          <w:p>
            <w:r>
              <w:rPr>
                <w:rFonts w:ascii="Times New Roman" w:cs="Times New Roman" w:eastAsia="Times New Roman" w:hAnsi="Times New Roman"/>
                <w:i/>
                <w:iCs/>
                <w:sz w:val="20"/>
                <w:szCs w:val="20"/>
              </w:rPr>
              <w:t xml:space="preserve">Samten bardo</w:t>
            </w:r>
          </w:p>
        </w:tc>
        <w:tc>
          <w:tcPr>
            <w:shd w:fill="FFFFFF" w:val="clear"/>
          </w:tcPr>
          <w:p>
            <w:r>
              <w:rPr>
                <w:rFonts w:ascii="Times New Roman" w:cs="Times New Roman" w:eastAsia="Times New Roman" w:hAnsi="Times New Roman"/>
                <w:sz w:val="20"/>
                <w:szCs w:val="20"/>
              </w:rPr>
              <w:t xml:space="preserve">En méditation profonde</w:t>
            </w:r>
          </w:p>
        </w:tc>
        <w:tc>
          <w:tcPr>
            <w:shd w:fill="FFFFFF" w:val="clear"/>
          </w:tcPr>
          <w:p>
            <w:r>
              <w:rPr>
                <w:rFonts w:ascii="Times New Roman" w:cs="Times New Roman" w:eastAsia="Times New Roman" w:hAnsi="Times New Roman"/>
                <w:sz w:val="20"/>
                <w:szCs w:val="20"/>
              </w:rPr>
              <w:t xml:space="preserve">Stabilisation de rigpa par trekchö/tögal</w:t>
            </w:r>
          </w:p>
        </w:tc>
      </w:tr>
      <w:tr>
        <w:tc>
          <w:tcPr>
            <w:shd w:fill="EEF2F7" w:val="clear"/>
          </w:tcPr>
          <w:p>
            <w:r>
              <w:rPr>
                <w:rFonts w:ascii="Times New Roman" w:cs="Times New Roman" w:eastAsia="Times New Roman" w:hAnsi="Times New Roman"/>
                <w:sz w:val="20"/>
                <w:szCs w:val="20"/>
              </w:rPr>
              <w:t xml:space="preserve">4. Moment de la mort</w:t>
            </w:r>
          </w:p>
        </w:tc>
        <w:tc>
          <w:tcPr>
            <w:shd w:fill="EEF2F7" w:val="clear"/>
          </w:tcPr>
          <w:p>
            <w:r>
              <w:rPr>
                <w:rFonts w:ascii="Times New Roman" w:cs="Times New Roman" w:eastAsia="Times New Roman" w:hAnsi="Times New Roman"/>
                <w:i/>
                <w:iCs/>
                <w:sz w:val="20"/>
                <w:szCs w:val="20"/>
              </w:rPr>
              <w:t xml:space="preserve">Chikhai bardo</w:t>
            </w:r>
          </w:p>
        </w:tc>
        <w:tc>
          <w:tcPr>
            <w:shd w:fill="EEF2F7" w:val="clear"/>
          </w:tcPr>
          <w:p>
            <w:r>
              <w:rPr>
                <w:rFonts w:ascii="Times New Roman" w:cs="Times New Roman" w:eastAsia="Times New Roman" w:hAnsi="Times New Roman"/>
                <w:sz w:val="20"/>
                <w:szCs w:val="20"/>
              </w:rPr>
              <w:t xml:space="preserve">Dissolution des éléments</w:t>
            </w:r>
          </w:p>
        </w:tc>
        <w:tc>
          <w:tcPr>
            <w:shd w:fill="EEF2F7" w:val="clear"/>
          </w:tcPr>
          <w:p>
            <w:r>
              <w:rPr>
                <w:rFonts w:ascii="Times New Roman" w:cs="Times New Roman" w:eastAsia="Times New Roman" w:hAnsi="Times New Roman"/>
                <w:sz w:val="20"/>
                <w:szCs w:val="20"/>
              </w:rPr>
              <w:t xml:space="preserve">Reconnaissance de la claire lumière (ösel)</w:t>
            </w:r>
          </w:p>
        </w:tc>
      </w:tr>
      <w:tr>
        <w:tc>
          <w:tcPr>
            <w:shd w:fill="FFFFFF" w:val="clear"/>
          </w:tcPr>
          <w:p>
            <w:r>
              <w:rPr>
                <w:rFonts w:ascii="Times New Roman" w:cs="Times New Roman" w:eastAsia="Times New Roman" w:hAnsi="Times New Roman"/>
                <w:sz w:val="20"/>
                <w:szCs w:val="20"/>
              </w:rPr>
              <w:t xml:space="preserve">5. Luminosité / Réalité</w:t>
            </w:r>
          </w:p>
        </w:tc>
        <w:tc>
          <w:tcPr>
            <w:shd w:fill="FFFFFF" w:val="clear"/>
          </w:tcPr>
          <w:p>
            <w:r>
              <w:rPr>
                <w:rFonts w:ascii="Times New Roman" w:cs="Times New Roman" w:eastAsia="Times New Roman" w:hAnsi="Times New Roman"/>
                <w:i/>
                <w:iCs/>
                <w:sz w:val="20"/>
                <w:szCs w:val="20"/>
              </w:rPr>
              <w:t xml:space="preserve">Chönyid bardo</w:t>
            </w:r>
          </w:p>
        </w:tc>
        <w:tc>
          <w:tcPr>
            <w:shd w:fill="FFFFFF" w:val="clear"/>
          </w:tcPr>
          <w:p>
            <w:r>
              <w:rPr>
                <w:rFonts w:ascii="Times New Roman" w:cs="Times New Roman" w:eastAsia="Times New Roman" w:hAnsi="Times New Roman"/>
                <w:sz w:val="20"/>
                <w:szCs w:val="20"/>
              </w:rPr>
              <w:t xml:space="preserve">Après le dernier souffle</w:t>
            </w:r>
          </w:p>
        </w:tc>
        <w:tc>
          <w:tcPr>
            <w:shd w:fill="FFFFFF" w:val="clear"/>
          </w:tcPr>
          <w:p>
            <w:r>
              <w:rPr>
                <w:rFonts w:ascii="Times New Roman" w:cs="Times New Roman" w:eastAsia="Times New Roman" w:hAnsi="Times New Roman"/>
                <w:sz w:val="20"/>
                <w:szCs w:val="20"/>
              </w:rPr>
              <w:t xml:space="preserve">Visions tögal : déités paisibles, puis courroucées</w:t>
            </w:r>
          </w:p>
        </w:tc>
      </w:tr>
      <w:tr>
        <w:tc>
          <w:tcPr>
            <w:shd w:fill="EEF2F7" w:val="clear"/>
          </w:tcPr>
          <w:p>
            <w:r>
              <w:rPr>
                <w:rFonts w:ascii="Times New Roman" w:cs="Times New Roman" w:eastAsia="Times New Roman" w:hAnsi="Times New Roman"/>
                <w:sz w:val="20"/>
                <w:szCs w:val="20"/>
              </w:rPr>
              <w:t xml:space="preserve">6. Devenir / Renaissance</w:t>
            </w:r>
          </w:p>
        </w:tc>
        <w:tc>
          <w:tcPr>
            <w:shd w:fill="EEF2F7" w:val="clear"/>
          </w:tcPr>
          <w:p>
            <w:r>
              <w:rPr>
                <w:rFonts w:ascii="Times New Roman" w:cs="Times New Roman" w:eastAsia="Times New Roman" w:hAnsi="Times New Roman"/>
                <w:i/>
                <w:iCs/>
                <w:sz w:val="20"/>
                <w:szCs w:val="20"/>
              </w:rPr>
              <w:t xml:space="preserve">Sidpa bardo</w:t>
            </w:r>
          </w:p>
        </w:tc>
        <w:tc>
          <w:tcPr>
            <w:shd w:fill="EEF2F7" w:val="clear"/>
          </w:tcPr>
          <w:p>
            <w:r>
              <w:rPr>
                <w:rFonts w:ascii="Times New Roman" w:cs="Times New Roman" w:eastAsia="Times New Roman" w:hAnsi="Times New Roman"/>
                <w:sz w:val="20"/>
                <w:szCs w:val="20"/>
              </w:rPr>
              <w:t xml:space="preserve">Avant la rencontre des parents</w:t>
            </w:r>
          </w:p>
        </w:tc>
        <w:tc>
          <w:tcPr>
            <w:shd w:fill="EEF2F7" w:val="clear"/>
          </w:tcPr>
          <w:p>
            <w:r>
              <w:rPr>
                <w:rFonts w:ascii="Times New Roman" w:cs="Times New Roman" w:eastAsia="Times New Roman" w:hAnsi="Times New Roman"/>
                <w:sz w:val="20"/>
                <w:szCs w:val="20"/>
              </w:rPr>
              <w:t xml:space="preserve">Redirection consciente vers une renaissance favorable</w:t>
            </w:r>
          </w:p>
        </w:tc>
      </w:tr>
    </w:tbl>
    <w:p>
      <w:pPr>
        <w:spacing w:after="160"/>
      </w:pPr>
    </w:p>
    <w:p>
      <w:pPr>
        <w:spacing w:after="120"/>
      </w:pPr>
      <w:r>
        <w:rPr>
          <w:rFonts w:ascii="Times New Roman" w:cs="Times New Roman" w:eastAsia="Times New Roman" w:hAnsi="Times New Roman"/>
          <w:color w:val="1F2937"/>
          <w:sz w:val="22"/>
          <w:szCs w:val="22"/>
        </w:rPr>
        <w:t xml:space="preserve">Cette carte n'est pas purement cosmologique : c'est une carte de la conscience. Les quatre premiers bardos concernent la vie ; les deux derniers, la mort. Dans la perspective dzogchen, ils sont tous traversés par la même nature fondamentale — rigpa — que le pratiquant apprend à reconnaître, d'abord dans la méditation, puis dans le sommeil et le rêve, enfin à l'heure de la mort.</w:t>
      </w:r>
    </w:p>
    <w:p>
      <w:pPr>
        <w:pStyle w:val="Heading3"/>
        <w:spacing w:after="80" w:before="200"/>
      </w:pPr>
      <w:r>
        <w:rPr>
          <w:rFonts w:ascii="Times New Roman" w:cs="Times New Roman" w:eastAsia="Times New Roman" w:hAnsi="Times New Roman"/>
          <w:b/>
          <w:bCs/>
          <w:color w:val="1F2937"/>
          <w:sz w:val="26"/>
          <w:szCs w:val="26"/>
        </w:rPr>
        <w:t xml:space="preserve">Le Bardo Thödol : un guide, pas un dogme</w:t>
      </w:r>
    </w:p>
    <w:p>
      <w:pPr>
        <w:spacing w:after="120"/>
      </w:pPr>
      <w:r>
        <w:rPr>
          <w:rFonts w:ascii="Times New Roman" w:cs="Times New Roman" w:eastAsia="Times New Roman" w:hAnsi="Times New Roman"/>
          <w:color w:val="1F2937"/>
          <w:sz w:val="22"/>
          <w:szCs w:val="22"/>
        </w:rPr>
        <w:t xml:space="preserve">Le texte connu en Occident sous le nom de « Livre tibétain des morts » est le Bardo Thödol (བར་དོ་ཐོས་གྲོལ་), littéralement « Libération dans l'état intermédiaire par l'écoute ». Selon la tradition nyingma, il fut composé au VIIIe siècle par Padmasambhava, transcrit par Yeshé Tsogyal, puis révélé au XIVe siècle comme terma par Karma Lingpa (1326–1386).</w:t>
      </w:r>
    </w:p>
    <w:p>
      <w:pPr>
        <w:spacing w:after="120"/>
      </w:pPr>
      <w:r>
        <w:rPr>
          <w:rFonts w:ascii="Times New Roman" w:cs="Times New Roman" w:eastAsia="Times New Roman" w:hAnsi="Times New Roman"/>
          <w:color w:val="1F2937"/>
          <w:sz w:val="22"/>
          <w:szCs w:val="22"/>
        </w:rPr>
        <w:t xml:space="preserve">Le texte est structuré en trois sections correspondant aux trois bardos post-mortem : le moment de la mort (chikhai bardo), l'expérience de la luminosité (chönyid bardo) et le devenir (sidpa bardo). Il est conçu pour être lu à voix haute au mourant — et après la mort — par un maître ou un proche initié, afin que la conscience, encore mobile, reconnaisse sa propre nature. Selon la tradition, la conscience reste présente dans le corps pendant plusieurs heures, voire plusieurs jours.</w:t>
      </w:r>
    </w:p>
    <w:p>
      <w:pPr>
        <w:spacing w:after="120"/>
      </w:pPr>
      <w:r>
        <w:rPr>
          <w:rFonts w:ascii="Times New Roman" w:cs="Times New Roman" w:eastAsia="Times New Roman" w:hAnsi="Times New Roman"/>
          <w:color w:val="1F2937"/>
          <w:sz w:val="22"/>
          <w:szCs w:val="22"/>
        </w:rPr>
        <w:t xml:space="preserve">Ce que le titre occidental doit à la théosophie. Le nom sous lequel le texte est connu hors du Tibet — « Le Livre tibétain des morts » — n'est pas tibétain : il vient de la première traduction anglaise, publiée en 1927 chez Oxford University Press par Walter Evans-Wentz. Celui-ci ne lisait pas le tibétain ; le travail de traduction revient pour l'essentiel à Lama Kazi Dawa Samdup. La page de référence consultée pour cette leçon décrit l'approche d'Evans-Wentz comme « ni tibétaine ni bouddhiste, mais théosophique et védantiste », et l'édition révisée de 1965 y ajoute un commentaire psychologique de Carl Jung, qui rapproche les phénomènes du bardo des contenus inconscients de sa propre théorie.</w:t>
      </w:r>
    </w:p>
    <w:p>
      <w:pPr>
        <w:spacing w:after="120"/>
      </w:pPr>
      <w:r>
        <w:rPr>
          <w:rFonts w:ascii="Times New Roman" w:cs="Times New Roman" w:eastAsia="Times New Roman" w:hAnsi="Times New Roman"/>
          <w:color w:val="1F2937"/>
          <w:sz w:val="22"/>
          <w:szCs w:val="22"/>
        </w:rPr>
        <w:t xml:space="preserve">Pourquoi le signaler ici : une part de ce qui circule en français sous le nom de « bardo » vient de cette couche de lecture occidentale, vieille d'un siècle, et non du corpus tibétain lui-même. Savoir dater une reformulation ne disqualifie rien — cela permet de savoir à quel registre appartient ce qu'on lit.</w:t>
      </w:r>
    </w:p>
    <w:p>
      <w:pPr>
        <w:shd w:fill="F3F4F6" w:val="clear"/>
        <w:spacing w:after="120"/>
        <w:ind w:left="500"/>
      </w:pPr>
      <w:r>
        <w:rPr>
          <w:rFonts w:ascii="Times New Roman" w:cs="Times New Roman" w:eastAsia="Times New Roman" w:hAnsi="Times New Roman"/>
          <w:i/>
          <w:iCs/>
          <w:color w:val="1B3A6B"/>
          <w:sz w:val="22"/>
          <w:szCs w:val="22"/>
        </w:rPr>
        <w:t xml:space="preserve">Note : Le Bardo Thödol appartient à la tradition nyingma et constitue un texte tantrique vajrayana. Les commentateurs contemporains soulignent que les enseignements dzogchen sur le bardo et le Bardo Thödol ne sont pas identiques, même s'ils partagent un vocabulaire et une vision communes. Une lecture attentive évite de les confondre (synthèse, non citation).</w:t>
      </w:r>
    </w:p>
    <w:p>
      <w:pPr>
        <w:pStyle w:val="Heading3"/>
        <w:spacing w:after="80" w:before="200"/>
      </w:pPr>
      <w:r>
        <w:rPr>
          <w:rFonts w:ascii="Times New Roman" w:cs="Times New Roman" w:eastAsia="Times New Roman" w:hAnsi="Times New Roman"/>
          <w:b/>
          <w:bCs/>
          <w:color w:val="1F2937"/>
          <w:sz w:val="26"/>
          <w:szCs w:val="26"/>
        </w:rPr>
        <w:t xml:space="preserve">La dissolution des éléments et la claire lumière</w:t>
      </w:r>
    </w:p>
    <w:p>
      <w:pPr>
        <w:spacing w:after="120"/>
      </w:pPr>
      <w:r>
        <w:rPr>
          <w:rFonts w:ascii="Times New Roman" w:cs="Times New Roman" w:eastAsia="Times New Roman" w:hAnsi="Times New Roman"/>
          <w:color w:val="1F2937"/>
          <w:sz w:val="22"/>
          <w:szCs w:val="22"/>
        </w:rPr>
        <w:t xml:space="preserve">Au moment de la mort, les textes tibétains décrivent une dissolution progressive des éléments constitutifs du corps et de l'esprit : la terre se dissout dans l'eau (pesanteur, lourdeur), l'eau dans le feu (fluidité), le feu dans l'air (chaleur), l'air dans la conscience (souffle). Cette dissolution s'accompagne de signes intérieurs — visions de fumée, de braises, de torches — jusqu'à l'apparition de la claire lumière fondamentale (ösel, འོད་གསལ་).</w:t>
      </w:r>
    </w:p>
    <w:p>
      <w:pPr>
        <w:spacing w:after="120"/>
      </w:pPr>
      <w:r>
        <w:rPr>
          <w:rFonts w:ascii="Times New Roman" w:cs="Times New Roman" w:eastAsia="Times New Roman" w:hAnsi="Times New Roman"/>
          <w:color w:val="1F2937"/>
          <w:sz w:val="22"/>
          <w:szCs w:val="22"/>
        </w:rPr>
        <w:t xml:space="preserve">Dans la vision dzogchen, cette claire lumière n'est autre que rigpa : la nature de l'esprit, nue et non voilée, révélée au moment de la mort à TOUS les êtres — y compris ceux qui n'ont pas pratiqué. La différence cruciale : le pratiquant expérimenté reconnaît cette lumière pour ce qu'elle est et s'y fond (libération). Le non-pratiquant ne la reconnaît pas, en a peur ou en est ébloui, et s'enfonce vers les visions karmiques du chönyid bardo, puis vers la renaissance du sidpa bardo.</w:t>
      </w:r>
    </w:p>
    <w:p>
      <w:pPr>
        <w:shd w:fill="F3F4F6" w:val="clear"/>
        <w:spacing w:after="120"/>
        <w:ind w:left="500"/>
      </w:pPr>
      <w:r>
        <w:rPr>
          <w:rFonts w:ascii="Times New Roman" w:cs="Times New Roman" w:eastAsia="Times New Roman" w:hAnsi="Times New Roman"/>
          <w:i/>
          <w:iCs/>
          <w:color w:val="1B3A6B"/>
          <w:sz w:val="22"/>
          <w:szCs w:val="22"/>
        </w:rPr>
        <w:t xml:space="preserve">Selon l'approche du Dzogchen, ce moment de la claire lumière à la mort est le miroir exact de ce que l'on a appris à reconnaître dans la méditation. Il dure le temps d'un éclair pour qui n'a pas pratiqué ; il peut s'étendre pour qui a stabilisé la reconnaissance de rigpa dans la vie. (Synthèse, non citation)</w:t>
      </w:r>
    </w:p>
    <w:p>
      <w:pPr>
        <w:pStyle w:val="Heading3"/>
        <w:spacing w:after="80" w:before="200"/>
      </w:pPr>
      <w:r>
        <w:rPr>
          <w:rFonts w:ascii="Times New Roman" w:cs="Times New Roman" w:eastAsia="Times New Roman" w:hAnsi="Times New Roman"/>
          <w:b/>
          <w:bCs/>
          <w:color w:val="1F2937"/>
          <w:sz w:val="26"/>
          <w:szCs w:val="26"/>
        </w:rPr>
        <w:t xml:space="preserve">La dimension tögal dans le chönyid bardo</w:t>
      </w:r>
    </w:p>
    <w:p>
      <w:pPr>
        <w:spacing w:after="120"/>
      </w:pPr>
      <w:r>
        <w:rPr>
          <w:rFonts w:ascii="Times New Roman" w:cs="Times New Roman" w:eastAsia="Times New Roman" w:hAnsi="Times New Roman"/>
          <w:color w:val="1F2937"/>
          <w:sz w:val="22"/>
          <w:szCs w:val="22"/>
        </w:rPr>
        <w:t xml:space="preserve">Si le pratiquant ne reconnaît pas la claire lumière initiale, il entre dans le chönyid bardo : des visions spontanées s'y manifestent — déités paisibles pendant sept jours, déités courroucées pendant sept jours. Dans la perspective dzogchen, ces visions sont identiques aux manifestations spontanées du tögal (leçon 7 et 12) : elles émanent de la propre nature de l'esprit du mourant. Le pratiquant du tögal, habitué à reconnaître ces formes lumineuses comme sa propre nature, maintient une conscience lucide. Celui qui ne les reconnaît pas y réagit avec attraction ou répulsion, ce qui conduit vers la renaissance.</w:t>
      </w:r>
    </w:p>
    <w:p>
      <w:pPr>
        <w:spacing w:after="120"/>
      </w:pPr>
      <w:r>
        <w:rPr>
          <w:rFonts w:ascii="Times New Roman" w:cs="Times New Roman" w:eastAsia="Times New Roman" w:hAnsi="Times New Roman"/>
          <w:color w:val="1F2937"/>
          <w:sz w:val="22"/>
          <w:szCs w:val="22"/>
        </w:rPr>
        <w:t xml:space="preserve">Jean-Luc Achard, dans ses travaux sur la tradition dzogchen bön (notamment via la tradition du Zhangzhung Nyengyü), décrit également des pratiques spécifiques — dont le phowa (transfert de conscience) — qui préparent le pratiquant à naviguer consciemment ces états. La tradition bön propose une classification de sept bardos (contre six dans la tradition nyingma), incluant le bardo de la méditation en absorption totale.</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Cartographier sa propre carte des bardos (30 min)</w:t>
      </w:r>
    </w:p>
    <w:p>
      <w:pPr>
        <w:spacing w:after="120"/>
      </w:pPr>
      <w:r>
        <w:rPr>
          <w:rFonts w:ascii="Times New Roman" w:cs="Times New Roman" w:eastAsia="Times New Roman" w:hAnsi="Times New Roman"/>
          <w:color w:val="1F2937"/>
          <w:sz w:val="22"/>
          <w:szCs w:val="22"/>
        </w:rPr>
        <w:t xml:space="preserve">Objectif : ancrer les six bardos dans ta compréhension personnelle, en les reliant à ce que tu as déjà pratiqué dans les leçons précédentes.</w:t>
      </w:r>
    </w:p>
    <w:p>
      <w:pPr>
        <w:pStyle w:val="ListParagraph"/>
        <w:numPr>
          <w:ilvl w:val="0"/>
          <w:numId w:val="1"/>
        </w:numPr>
        <w:spacing w:after="80"/>
      </w:pPr>
      <w:r>
        <w:rPr>
          <w:rFonts w:ascii="Times New Roman" w:cs="Times New Roman" w:eastAsia="Times New Roman" w:hAnsi="Times New Roman"/>
          <w:color w:val="1F2937"/>
          <w:sz w:val="22"/>
          <w:szCs w:val="22"/>
        </w:rPr>
        <w:t xml:space="preserve">Prends une feuille ou une page de carnet. Dessine six cases disposées en cercle.</w:t>
      </w:r>
    </w:p>
    <w:p>
      <w:pPr>
        <w:pStyle w:val="ListParagraph"/>
        <w:numPr>
          <w:ilvl w:val="0"/>
          <w:numId w:val="1"/>
        </w:numPr>
        <w:spacing w:after="80"/>
      </w:pPr>
      <w:r>
        <w:rPr>
          <w:rFonts w:ascii="Times New Roman" w:cs="Times New Roman" w:eastAsia="Times New Roman" w:hAnsi="Times New Roman"/>
          <w:color w:val="1F2937"/>
          <w:sz w:val="22"/>
          <w:szCs w:val="22"/>
        </w:rPr>
        <w:t xml:space="preserve">Dans chaque case : note le nom du bardo, son moment, et l'opportunité de libération qu'il offre (sans regarder la leçon).</w:t>
      </w:r>
    </w:p>
    <w:p>
      <w:pPr>
        <w:pStyle w:val="ListParagraph"/>
        <w:numPr>
          <w:ilvl w:val="0"/>
          <w:numId w:val="1"/>
        </w:numPr>
        <w:spacing w:after="80"/>
      </w:pPr>
      <w:r>
        <w:rPr>
          <w:rFonts w:ascii="Times New Roman" w:cs="Times New Roman" w:eastAsia="Times New Roman" w:hAnsi="Times New Roman"/>
          <w:color w:val="1F2937"/>
          <w:sz w:val="22"/>
          <w:szCs w:val="22"/>
        </w:rPr>
        <w:t xml:space="preserve">Relie chaque bardo à une pratique que tu connais déjà : rêve lucide → milam bardo, trekchö → vie ordinaire, tögal → chönyid bardo…</w:t>
      </w:r>
    </w:p>
    <w:p>
      <w:pPr>
        <w:pStyle w:val="ListParagraph"/>
        <w:numPr>
          <w:ilvl w:val="0"/>
          <w:numId w:val="1"/>
        </w:numPr>
        <w:spacing w:after="80"/>
      </w:pPr>
      <w:r>
        <w:rPr>
          <w:rFonts w:ascii="Times New Roman" w:cs="Times New Roman" w:eastAsia="Times New Roman" w:hAnsi="Times New Roman"/>
          <w:color w:val="1F2937"/>
          <w:sz w:val="22"/>
          <w:szCs w:val="22"/>
        </w:rPr>
        <w:t xml:space="preserve">Pour chacun, note une seule question personnelle : « Qu'est-ce que je ne sais pas encore faire dans ce bardo ? »</w:t>
      </w:r>
    </w:p>
    <w:p>
      <w:pPr>
        <w:spacing w:after="120"/>
      </w:pPr>
      <w:r>
        <w:rPr>
          <w:rFonts w:ascii="Times New Roman" w:cs="Times New Roman" w:eastAsia="Times New Roman" w:hAnsi="Times New Roman"/>
          <w:color w:val="1F2937"/>
          <w:sz w:val="22"/>
          <w:szCs w:val="22"/>
        </w:rPr>
        <w:t xml:space="preserve">Ce n'est pas un exercice de mémorisation brute : c'est une carte de ton propre chemin.</w:t>
      </w:r>
    </w:p>
    <w:p>
      <w:pPr>
        <w:spacing w:after="160"/>
      </w:pPr>
    </w:p>
    <w:p>
      <w:pPr>
        <w:pStyle w:val="Heading3"/>
        <w:spacing w:after="80" w:before="200"/>
      </w:pPr>
      <w:r>
        <w:rPr>
          <w:rFonts w:ascii="Times New Roman" w:cs="Times New Roman" w:eastAsia="Times New Roman" w:hAnsi="Times New Roman"/>
          <w:b/>
          <w:bCs/>
          <w:color w:val="1F2937"/>
          <w:sz w:val="26"/>
          <w:szCs w:val="26"/>
        </w:rPr>
        <w:t xml:space="preserve">Exercice 2 — Méditation du sommeil lucide comme répétition du bardo (20 min)</w:t>
      </w:r>
    </w:p>
    <w:p>
      <w:pPr>
        <w:spacing w:after="120"/>
      </w:pPr>
      <w:r>
        <w:rPr>
          <w:rFonts w:ascii="Times New Roman" w:cs="Times New Roman" w:eastAsia="Times New Roman" w:hAnsi="Times New Roman"/>
          <w:color w:val="1F2937"/>
          <w:sz w:val="22"/>
          <w:szCs w:val="22"/>
        </w:rPr>
        <w:t xml:space="preserve">Le milam bardo (bardo du rêve) est décrit comme une répétition quotidienne du processus de la mort : l'endormissement reproduit la dissolution des éléments ; le rêve reproduit le chönyid bardo ; le réveil reproduit la renaissance. Cette méditation s'insère dans le moment de l'endormissement.</w:t>
      </w:r>
    </w:p>
    <w:p>
      <w:pPr>
        <w:pStyle w:val="ListParagraph"/>
        <w:numPr>
          <w:ilvl w:val="0"/>
          <w:numId w:val="1"/>
        </w:numPr>
        <w:spacing w:after="80"/>
      </w:pPr>
      <w:r>
        <w:rPr>
          <w:rFonts w:ascii="Times New Roman" w:cs="Times New Roman" w:eastAsia="Times New Roman" w:hAnsi="Times New Roman"/>
          <w:color w:val="1F2937"/>
          <w:sz w:val="22"/>
          <w:szCs w:val="22"/>
        </w:rPr>
        <w:t xml:space="preserve">Ce soir, allonge-toi dans la position du lion (sur le côté droit, main droite sous la joue) — position traditionnelle du Bouddha Shakyamuni à sa mort.</w:t>
      </w:r>
    </w:p>
    <w:p>
      <w:pPr>
        <w:pStyle w:val="ListParagraph"/>
        <w:numPr>
          <w:ilvl w:val="0"/>
          <w:numId w:val="1"/>
        </w:numPr>
        <w:spacing w:after="80"/>
      </w:pPr>
      <w:r>
        <w:rPr>
          <w:rFonts w:ascii="Times New Roman" w:cs="Times New Roman" w:eastAsia="Times New Roman" w:hAnsi="Times New Roman"/>
          <w:color w:val="1F2937"/>
          <w:sz w:val="22"/>
          <w:szCs w:val="22"/>
        </w:rPr>
        <w:t xml:space="preserve">En fermant les yeux, observe le corps se « dissoudre » progressivement : pieds, jambes, bassin, ventre, poitrine, bras, tête.</w:t>
      </w:r>
    </w:p>
    <w:p>
      <w:pPr>
        <w:pStyle w:val="ListParagraph"/>
        <w:numPr>
          <w:ilvl w:val="0"/>
          <w:numId w:val="1"/>
        </w:numPr>
        <w:spacing w:after="80"/>
      </w:pPr>
      <w:r>
        <w:rPr>
          <w:rFonts w:ascii="Times New Roman" w:cs="Times New Roman" w:eastAsia="Times New Roman" w:hAnsi="Times New Roman"/>
          <w:color w:val="1F2937"/>
          <w:sz w:val="22"/>
          <w:szCs w:val="22"/>
        </w:rPr>
        <w:t xml:space="preserve">À chaque zone, relâche toute tension et reconnais la sensation qui disparaît dans une conscience plus vaste.</w:t>
      </w:r>
    </w:p>
    <w:p>
      <w:pPr>
        <w:pStyle w:val="ListParagraph"/>
        <w:numPr>
          <w:ilvl w:val="0"/>
          <w:numId w:val="1"/>
        </w:numPr>
        <w:spacing w:after="80"/>
      </w:pPr>
      <w:r>
        <w:rPr>
          <w:rFonts w:ascii="Times New Roman" w:cs="Times New Roman" w:eastAsia="Times New Roman" w:hAnsi="Times New Roman"/>
          <w:color w:val="1F2937"/>
          <w:sz w:val="22"/>
          <w:szCs w:val="22"/>
        </w:rPr>
        <w:t xml:space="preserve">À l'approche du sommeil, formule l'intention : « Je reconnais ma nature dans cet état. » Sans forcer ni contrôler.</w:t>
      </w:r>
    </w:p>
    <w:p>
      <w:pPr>
        <w:pStyle w:val="ListParagraph"/>
        <w:numPr>
          <w:ilvl w:val="0"/>
          <w:numId w:val="1"/>
        </w:numPr>
        <w:spacing w:after="80"/>
      </w:pPr>
      <w:r>
        <w:rPr>
          <w:rFonts w:ascii="Times New Roman" w:cs="Times New Roman" w:eastAsia="Times New Roman" w:hAnsi="Times New Roman"/>
          <w:color w:val="1F2937"/>
          <w:sz w:val="22"/>
          <w:szCs w:val="22"/>
        </w:rPr>
        <w:t xml:space="preserve">Le lendemain matin, note dans un carnet : ai-je eu conscience d'un moment de transition entre veille et sommeil ?</w:t>
      </w:r>
    </w:p>
    <w:p>
      <w:pPr>
        <w:spacing w:after="120"/>
      </w:pPr>
      <w:r>
        <w:rPr>
          <w:rFonts w:ascii="Times New Roman" w:cs="Times New Roman" w:eastAsia="Times New Roman" w:hAnsi="Times New Roman"/>
          <w:color w:val="1F2937"/>
          <w:sz w:val="22"/>
          <w:szCs w:val="22"/>
        </w:rPr>
        <w:t xml:space="preserve">Répète cet exercice 3 jours de suite pour ancrer l'observation.</w:t>
      </w:r>
    </w:p>
    <w:p>
      <w:pPr>
        <w:spacing w:after="160"/>
      </w:pPr>
    </w:p>
    <w:p>
      <w:pPr>
        <w:pStyle w:val="Heading3"/>
        <w:spacing w:after="80" w:before="200"/>
      </w:pPr>
      <w:r>
        <w:rPr>
          <w:rFonts w:ascii="Times New Roman" w:cs="Times New Roman" w:eastAsia="Times New Roman" w:hAnsi="Times New Roman"/>
          <w:b/>
          <w:bCs/>
          <w:color w:val="1F2937"/>
          <w:sz w:val="26"/>
          <w:szCs w:val="26"/>
        </w:rPr>
        <w:t xml:space="preserve">Exercice 3 — Contemplation de la dissolution consciente (15 min, en méditation assise)</w:t>
      </w:r>
    </w:p>
    <w:p>
      <w:pPr>
        <w:spacing w:after="120"/>
      </w:pPr>
      <w:r>
        <w:rPr>
          <w:rFonts w:ascii="Times New Roman" w:cs="Times New Roman" w:eastAsia="Times New Roman" w:hAnsi="Times New Roman"/>
          <w:color w:val="1F2937"/>
          <w:sz w:val="22"/>
          <w:szCs w:val="22"/>
        </w:rPr>
        <w:t xml:space="preserve">Cette pratique emprunte à la méditation tonglen et à la préparation tibétaine à la mort.</w:t>
      </w:r>
    </w:p>
    <w:p>
      <w:pPr>
        <w:pStyle w:val="ListParagraph"/>
        <w:numPr>
          <w:ilvl w:val="0"/>
          <w:numId w:val="1"/>
        </w:numPr>
        <w:spacing w:after="80"/>
      </w:pPr>
      <w:r>
        <w:rPr>
          <w:rFonts w:ascii="Times New Roman" w:cs="Times New Roman" w:eastAsia="Times New Roman" w:hAnsi="Times New Roman"/>
          <w:color w:val="1F2937"/>
          <w:sz w:val="22"/>
          <w:szCs w:val="22"/>
        </w:rPr>
        <w:t xml:space="preserve">Assieds-toi en posture stable. Commence par 5 minutes de trekchö : reconnais l'espace ouvert de rigpa.</w:t>
      </w:r>
    </w:p>
    <w:p>
      <w:pPr>
        <w:pStyle w:val="ListParagraph"/>
        <w:numPr>
          <w:ilvl w:val="0"/>
          <w:numId w:val="1"/>
        </w:numPr>
        <w:spacing w:after="80"/>
      </w:pPr>
      <w:r>
        <w:rPr>
          <w:rFonts w:ascii="Times New Roman" w:cs="Times New Roman" w:eastAsia="Times New Roman" w:hAnsi="Times New Roman"/>
          <w:color w:val="1F2937"/>
          <w:sz w:val="22"/>
          <w:szCs w:val="22"/>
        </w:rPr>
        <w:t xml:space="preserve">Imagine doucement que l'élément terre de ton corps se dissout — tu perds toute consistance, tout poids. Reste présent.</w:t>
      </w:r>
    </w:p>
    <w:p>
      <w:pPr>
        <w:pStyle w:val="ListParagraph"/>
        <w:numPr>
          <w:ilvl w:val="0"/>
          <w:numId w:val="1"/>
        </w:numPr>
        <w:spacing w:after="80"/>
      </w:pPr>
      <w:r>
        <w:rPr>
          <w:rFonts w:ascii="Times New Roman" w:cs="Times New Roman" w:eastAsia="Times New Roman" w:hAnsi="Times New Roman"/>
          <w:color w:val="1F2937"/>
          <w:sz w:val="22"/>
          <w:szCs w:val="22"/>
        </w:rPr>
        <w:t xml:space="preserve">Puis l'eau : la circulation cesse, la fluidité disparaît. Reste dans l'espace.</w:t>
      </w:r>
    </w:p>
    <w:p>
      <w:pPr>
        <w:pStyle w:val="ListParagraph"/>
        <w:numPr>
          <w:ilvl w:val="0"/>
          <w:numId w:val="1"/>
        </w:numPr>
        <w:spacing w:after="80"/>
      </w:pPr>
      <w:r>
        <w:rPr>
          <w:rFonts w:ascii="Times New Roman" w:cs="Times New Roman" w:eastAsia="Times New Roman" w:hAnsi="Times New Roman"/>
          <w:color w:val="1F2937"/>
          <w:sz w:val="22"/>
          <w:szCs w:val="22"/>
        </w:rPr>
        <w:t xml:space="preserve">Puis le feu : la chaleur se retire, le corps se refroidit. Reste dans la conscience.</w:t>
      </w:r>
    </w:p>
    <w:p>
      <w:pPr>
        <w:pStyle w:val="ListParagraph"/>
        <w:numPr>
          <w:ilvl w:val="0"/>
          <w:numId w:val="1"/>
        </w:numPr>
        <w:spacing w:after="80"/>
      </w:pPr>
      <w:r>
        <w:rPr>
          <w:rFonts w:ascii="Times New Roman" w:cs="Times New Roman" w:eastAsia="Times New Roman" w:hAnsi="Times New Roman"/>
          <w:color w:val="1F2937"/>
          <w:sz w:val="22"/>
          <w:szCs w:val="22"/>
        </w:rPr>
        <w:t xml:space="preserve">Puis l'air : la respiration s'arrête doucement. Il reste une conscience pure, lumineuse, sans support corporel.</w:t>
      </w:r>
    </w:p>
    <w:p>
      <w:pPr>
        <w:pStyle w:val="ListParagraph"/>
        <w:numPr>
          <w:ilvl w:val="0"/>
          <w:numId w:val="1"/>
        </w:numPr>
        <w:spacing w:after="80"/>
      </w:pPr>
      <w:r>
        <w:rPr>
          <w:rFonts w:ascii="Times New Roman" w:cs="Times New Roman" w:eastAsia="Times New Roman" w:hAnsi="Times New Roman"/>
          <w:color w:val="1F2937"/>
          <w:sz w:val="22"/>
          <w:szCs w:val="22"/>
        </w:rPr>
        <w:t xml:space="preserve">Reste dans cet espace aussi longtemps que possible — 3 à 5 minutes. C'est là que la claire lumière apparaîtrait.</w:t>
      </w:r>
    </w:p>
    <w:p>
      <w:pPr>
        <w:pStyle w:val="ListParagraph"/>
        <w:numPr>
          <w:ilvl w:val="0"/>
          <w:numId w:val="1"/>
        </w:numPr>
        <w:spacing w:after="80"/>
      </w:pPr>
      <w:r>
        <w:rPr>
          <w:rFonts w:ascii="Times New Roman" w:cs="Times New Roman" w:eastAsia="Times New Roman" w:hAnsi="Times New Roman"/>
          <w:color w:val="1F2937"/>
          <w:sz w:val="22"/>
          <w:szCs w:val="22"/>
        </w:rPr>
        <w:t xml:space="preserve">À la fin, relâche la visualisation, respire normalement. Note ce que tu as observé.</w:t>
      </w:r>
    </w:p>
    <w:p>
      <w:pPr>
        <w:shd w:fill="F3F4F6" w:val="clear"/>
        <w:spacing w:after="120"/>
        <w:ind w:left="500"/>
      </w:pPr>
      <w:r>
        <w:rPr>
          <w:rFonts w:ascii="Times New Roman" w:cs="Times New Roman" w:eastAsia="Times New Roman" w:hAnsi="Times New Roman"/>
          <w:i/>
          <w:iCs/>
          <w:color w:val="1B3A6B"/>
          <w:sz w:val="22"/>
          <w:szCs w:val="22"/>
        </w:rPr>
        <w:t xml:space="preserve">Remarque : cette contemplation est une pratique imaginale, pas une simulation morbide. Elle vise à familiariser la conscience avec ce qui survient naturellement. Si des émotions difficiles surgissent, reviens doucement à la respiration.</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Challenge — Rédiger son propre « guide du bardo »</w:t>
      </w:r>
    </w:p>
    <w:p>
      <w:pPr>
        <w:spacing w:after="120"/>
      </w:pPr>
      <w:r>
        <w:rPr>
          <w:rFonts w:ascii="Times New Roman" w:cs="Times New Roman" w:eastAsia="Times New Roman" w:hAnsi="Times New Roman"/>
          <w:color w:val="1F2937"/>
          <w:sz w:val="22"/>
          <w:szCs w:val="22"/>
        </w:rPr>
        <w:t xml:space="preserve">Le Bardo Thödol est un guide lu par un maître à un mourant. En t'appuyant sur l'ensemble de ton parcours dzogchen (leçons 1 à 13), rédige une page — pour toi-même — qui résume ce que tu veux être capable de reconnaître à ta mort.</w:t>
      </w:r>
    </w:p>
    <w:p>
      <w:pPr>
        <w:pStyle w:val="ListParagraph"/>
        <w:numPr>
          <w:ilvl w:val="0"/>
          <w:numId w:val="1"/>
        </w:numPr>
        <w:spacing w:after="80"/>
      </w:pPr>
      <w:r>
        <w:rPr>
          <w:rFonts w:ascii="Times New Roman" w:cs="Times New Roman" w:eastAsia="Times New Roman" w:hAnsi="Times New Roman"/>
          <w:color w:val="1F2937"/>
          <w:sz w:val="22"/>
          <w:szCs w:val="22"/>
        </w:rPr>
        <w:t xml:space="preserve">Quels signes de la claire lumière aimerais-tu reconnaître ? En quoi resemblent-ils à rigpa tel que tu l'as pratiqué ?</w:t>
      </w:r>
    </w:p>
    <w:p>
      <w:pPr>
        <w:pStyle w:val="ListParagraph"/>
        <w:numPr>
          <w:ilvl w:val="0"/>
          <w:numId w:val="1"/>
        </w:numPr>
        <w:spacing w:after="80"/>
      </w:pPr>
      <w:r>
        <w:rPr>
          <w:rFonts w:ascii="Times New Roman" w:cs="Times New Roman" w:eastAsia="Times New Roman" w:hAnsi="Times New Roman"/>
          <w:color w:val="1F2937"/>
          <w:sz w:val="22"/>
          <w:szCs w:val="22"/>
        </w:rPr>
        <w:t xml:space="preserve">Quelles visions du chönyid bardo pourraient te piéger ? Pourquoi (attraction ? peur ?) ?</w:t>
      </w:r>
    </w:p>
    <w:p>
      <w:pPr>
        <w:pStyle w:val="ListParagraph"/>
        <w:numPr>
          <w:ilvl w:val="0"/>
          <w:numId w:val="1"/>
        </w:numPr>
        <w:spacing w:after="80"/>
      </w:pPr>
      <w:r>
        <w:rPr>
          <w:rFonts w:ascii="Times New Roman" w:cs="Times New Roman" w:eastAsia="Times New Roman" w:hAnsi="Times New Roman"/>
          <w:color w:val="1F2937"/>
          <w:sz w:val="22"/>
          <w:szCs w:val="22"/>
        </w:rPr>
        <w:t xml:space="preserve">Quelle instruction brève te donnerais-tu à toi-même pour naviguer le sidpa bardo ?</w:t>
      </w:r>
    </w:p>
    <w:p>
      <w:pPr>
        <w:pStyle w:val="ListParagraph"/>
        <w:numPr>
          <w:ilvl w:val="0"/>
          <w:numId w:val="1"/>
        </w:numPr>
        <w:spacing w:after="80"/>
      </w:pPr>
      <w:r>
        <w:rPr>
          <w:rFonts w:ascii="Times New Roman" w:cs="Times New Roman" w:eastAsia="Times New Roman" w:hAnsi="Times New Roman"/>
          <w:color w:val="1F2937"/>
          <w:sz w:val="22"/>
          <w:szCs w:val="22"/>
        </w:rPr>
        <w:t xml:space="preserve">Cette page est personnelle. Elle n'a pas à être savante. Elle peut tenir en quelques lignes puissantes.</w:t>
      </w:r>
    </w:p>
    <w:p>
      <w:pPr>
        <w:spacing w:after="120"/>
      </w:pPr>
      <w:r>
        <w:rPr>
          <w:rFonts w:ascii="Times New Roman" w:cs="Times New Roman" w:eastAsia="Times New Roman" w:hAnsi="Times New Roman"/>
          <w:color w:val="1F2937"/>
          <w:sz w:val="22"/>
          <w:szCs w:val="22"/>
        </w:rPr>
        <w:t xml:space="preserve">Ce travail d'écriture est lui-même une pratique : c'est une forme de phowa symbolique, un engagement à ne pas se laisser emporter par l'inconscience au moment crucial.</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Pont professionnel</w:t>
      </w:r>
    </w:p>
    <w:p>
      <w:pPr>
        <w:spacing w:after="120"/>
      </w:pPr>
      <w:r>
        <w:rPr>
          <w:rFonts w:ascii="Times New Roman" w:cs="Times New Roman" w:eastAsia="Times New Roman" w:hAnsi="Times New Roman"/>
          <w:color w:val="1F2937"/>
          <w:sz w:val="22"/>
          <w:szCs w:val="22"/>
        </w:rPr>
        <w:t xml:space="preserve">Dans l'accompagnement des adultes en situation de handicap mental ou psychique, la question de la mort est souvent esquivée. Les recommandations de bonne pratique de l'ANESM, reprises par la HAS, en traitent précisément : « Accompagner la fin de vie des personnes âgées en Ehpad » — donnée comme utile aux établissements accueillant des personnes handicapées vieillissantes — et « L'accompagnement à la santé de la personne handicapée » (juillet 2013). Ce sont elles qu'il faut citer, et non « les RBPP » en général : une recommandation sans titre ni date ne tient pas devant un évaluateur. La conscience des bardos — et en particulier l'idée que la mort n'est pas un mur mais une série d'états traversables avec présence — peut nourrir une posture soignante : rester présent, parler doucement, éviter de laisser la personne seule à l'heure du passage. À tenir clairement séparé, toutefois : les gestes recommandés — rester présent, parler doucement, ne pas laisser la personne seule — sont fondés dans ces recommandations, sans avoir besoin d'une cosmologie pour les justifier. Ce que le parcours apporte ici relève de TA préparation personnelle, pas d'un contenu à transmettre en réunion d'équipe ni d'une justification opposable dans un projet d'établissement.</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Ressources cliquables</w:t>
      </w:r>
    </w:p>
    <w:p>
      <w:pPr>
        <w:spacing w:after="120"/>
      </w:pPr>
      <w:r>
        <w:rPr>
          <w:rFonts w:ascii="Times New Roman" w:cs="Times New Roman" w:eastAsia="Times New Roman" w:hAnsi="Times New Roman"/>
          <w:color w:val="1F2937"/>
          <w:sz w:val="22"/>
          <w:szCs w:val="22"/>
        </w:rPr>
        <w:t xml:space="preserve">Sources vérifiées et consultées dans cette exécution :</w:t>
      </w:r>
    </w:p>
    <w:p>
      <w:pPr>
        <w:spacing w:after="100"/>
      </w:pPr>
      <w:r>
        <w:rPr>
          <w:rFonts w:ascii="Times New Roman" w:cs="Times New Roman" w:eastAsia="Times New Roman" w:hAnsi="Times New Roman"/>
          <w:color w:val="1F2937"/>
          <w:sz w:val="22"/>
          <w:szCs w:val="22"/>
        </w:rPr>
        <w:t xml:space="preserve">→ </w:t>
      </w:r>
      <w:hyperlink w:history="1" r:id="rIdykq0uivqqdtxvzxtielfw">
        <w:r>
          <w:rPr>
            <w:rFonts w:ascii="Times New Roman" w:cs="Times New Roman" w:eastAsia="Times New Roman" w:hAnsi="Times New Roman"/>
            <w:color w:val="1155CC"/>
            <w:sz w:val="22"/>
            <w:szCs w:val="22"/>
            <w:u w:val="single"/>
          </w:rPr>
          <w:t xml:space="preserve">Bardo — Wikipedia (EN) : définitions, six bardos, lien avec le Dzogchen et le Bardo Thödol</w:t>
        </w:r>
      </w:hyperlink>
    </w:p>
    <w:p>
      <w:pPr>
        <w:spacing w:after="100"/>
      </w:pPr>
      <w:r>
        <w:rPr>
          <w:rFonts w:ascii="Times New Roman" w:cs="Times New Roman" w:eastAsia="Times New Roman" w:hAnsi="Times New Roman"/>
          <w:color w:val="1F2937"/>
          <w:sz w:val="22"/>
          <w:szCs w:val="22"/>
        </w:rPr>
        <w:t xml:space="preserve">→ </w:t>
      </w:r>
      <w:hyperlink w:history="1" r:id="rId_bkmsl7u0ox4itbn5sttb">
        <w:r>
          <w:rPr>
            <w:rFonts w:ascii="Times New Roman" w:cs="Times New Roman" w:eastAsia="Times New Roman" w:hAnsi="Times New Roman"/>
            <w:color w:val="1155CC"/>
            <w:sz w:val="22"/>
            <w:szCs w:val="22"/>
            <w:u w:val="single"/>
          </w:rPr>
          <w:t xml:space="preserve">Bardo Thodol — Wikipedia (EN) : composition, structure, Karma Lingpa, Padmasambhava — et surtout la section sur la réception occidentale du texte (Evans-Wentz, Jung). Source tertiaire : bonne pour se repérer, à ne pas citer comme référence</w:t>
        </w:r>
      </w:hyperlink>
    </w:p>
    <w:p>
      <w:pPr>
        <w:spacing w:after="100"/>
      </w:pPr>
      <w:r>
        <w:rPr>
          <w:rFonts w:ascii="Times New Roman" w:cs="Times New Roman" w:eastAsia="Times New Roman" w:hAnsi="Times New Roman"/>
          <w:color w:val="1F2937"/>
          <w:sz w:val="22"/>
          <w:szCs w:val="22"/>
        </w:rPr>
        <w:t xml:space="preserve">→ </w:t>
      </w:r>
      <w:hyperlink w:history="1" r:id="rIdbmf6mvomyee1gkwlq_lx9">
        <w:r>
          <w:rPr>
            <w:rFonts w:ascii="Times New Roman" w:cs="Times New Roman" w:eastAsia="Times New Roman" w:hAnsi="Times New Roman"/>
            <w:color w:val="1155CC"/>
            <w:sz w:val="22"/>
            <w:szCs w:val="22"/>
            <w:u w:val="single"/>
          </w:rPr>
          <w:t xml:space="preserve">New World Encyclopedia — Tibetan Book of the Dead : les trois bardos, dissolution, pratiques préparatoires</w:t>
        </w:r>
      </w:hyperlink>
    </w:p>
    <w:p>
      <w:pPr>
        <w:spacing w:after="100"/>
      </w:pPr>
      <w:r>
        <w:rPr>
          <w:rFonts w:ascii="Times New Roman" w:cs="Times New Roman" w:eastAsia="Times New Roman" w:hAnsi="Times New Roman"/>
          <w:color w:val="1F2937"/>
          <w:sz w:val="22"/>
          <w:szCs w:val="22"/>
        </w:rPr>
        <w:t xml:space="preserve">→ </w:t>
      </w:r>
      <w:hyperlink w:history="1" r:id="rIdmoqb01rrgthsxzt8yw9rz">
        <w:r>
          <w:rPr>
            <w:rFonts w:ascii="Times New Roman" w:cs="Times New Roman" w:eastAsia="Times New Roman" w:hAnsi="Times New Roman"/>
            <w:color w:val="1155CC"/>
            <w:sz w:val="22"/>
            <w:szCs w:val="22"/>
            <w:u w:val="single"/>
          </w:rPr>
          <w:t xml:space="preserve">Khyung-Mkhar (blog) — La voie Dzogchen de la Claire-Lumière : reprend des travaux de Jean-Luc Achard. ⚠️ Blog personnel, non éditorialisé — pour les travaux d'Achard, préférer la revue à comité de lecture qu'il dirige, ci-dessous</w:t>
        </w:r>
      </w:hyperlink>
    </w:p>
    <w:p>
      <w:pPr>
        <w:spacing w:after="100"/>
      </w:pPr>
      <w:r>
        <w:rPr>
          <w:rFonts w:ascii="Times New Roman" w:cs="Times New Roman" w:eastAsia="Times New Roman" w:hAnsi="Times New Roman"/>
          <w:color w:val="1F2937"/>
          <w:sz w:val="22"/>
          <w:szCs w:val="22"/>
        </w:rPr>
        <w:t xml:space="preserve">→ </w:t>
      </w:r>
      <w:hyperlink w:history="1" r:id="rIdw7hts6vkqwa9lsik6np7a">
        <w:r>
          <w:rPr>
            <w:rFonts w:ascii="Times New Roman" w:cs="Times New Roman" w:eastAsia="Times New Roman" w:hAnsi="Times New Roman"/>
            <w:color w:val="1155CC"/>
            <w:sz w:val="22"/>
            <w:szCs w:val="22"/>
            <w:u w:val="single"/>
          </w:rPr>
          <w:t xml:space="preserve">Theosophical Society — A Tour of the Tibetan Book of the Dead (contexte comparatif)</w:t>
        </w:r>
      </w:hyperlink>
    </w:p>
    <w:p>
      <w:pPr>
        <w:spacing w:after="120"/>
      </w:pPr>
      <w:r>
        <w:rPr>
          <w:rFonts w:ascii="Times New Roman" w:cs="Times New Roman" w:eastAsia="Times New Roman" w:hAnsi="Times New Roman"/>
          <w:color w:val="1F2937"/>
          <w:sz w:val="22"/>
          <w:szCs w:val="22"/>
        </w:rPr>
        <w:t xml:space="preserve">Sources ajoutées le 25/08/2026, testées ce jour (200) :</w:t>
      </w:r>
    </w:p>
    <w:p>
      <w:pPr>
        <w:spacing w:after="120"/>
      </w:pPr>
      <w:r>
        <w:rPr>
          <w:rFonts w:ascii="Times New Roman" w:cs="Times New Roman" w:eastAsia="Times New Roman" w:hAnsi="Times New Roman"/>
          <w:color w:val="1F2937"/>
          <w:sz w:val="22"/>
          <w:szCs w:val="22"/>
        </w:rPr>
        <w:t xml:space="preserve">→ </w:t>
      </w:r>
      <w:hyperlink w:history="1" r:id="rIdretachardcrcaocnrs1">
        <w:r>
          <w:rPr>
            <w:rFonts w:ascii="Times New Roman" w:cs="Times New Roman" w:eastAsia="Times New Roman" w:hAnsi="Times New Roman"/>
            <w:color w:val="1155CC"/>
            <w:sz w:val="22"/>
            <w:szCs w:val="22"/>
            <w:u w:val="single"/>
          </w:rPr>
          <w:t xml:space="preserve">Revue d'Études Tibétaines (CNRS / CRCAO, UMR 8155) — revue à comité de lecture dirigée par Jean-Luc Achard, tous les numéros en accès libre. La référence à citer pour ses travaux, plutôt qu'un blog.</w:t>
        </w:r>
      </w:hyperlink>
    </w:p>
    <w:p>
      <w:pPr>
        <w:spacing w:after="120"/>
      </w:pPr>
      <w:r>
        <w:rPr>
          <w:rFonts w:ascii="Times New Roman" w:cs="Times New Roman" w:eastAsia="Times New Roman" w:hAnsi="Times New Roman"/>
          <w:color w:val="1F2937"/>
          <w:sz w:val="22"/>
          <w:szCs w:val="22"/>
        </w:rPr>
        <w:t xml:space="preserve">→ </w:t>
      </w:r>
      <w:hyperlink w:history="1" r:id="rIdhasfindevieehpad202">
        <w:r>
          <w:rPr>
            <w:rFonts w:ascii="Times New Roman" w:cs="Times New Roman" w:eastAsia="Times New Roman" w:hAnsi="Times New Roman"/>
            <w:color w:val="1155CC"/>
            <w:sz w:val="22"/>
            <w:szCs w:val="22"/>
            <w:u w:val="single"/>
          </w:rPr>
          <w:t xml:space="preserve">HAS / ANESM — Accompagner la fin de vie des personnes âgées en Ehpad : la recommandation que le pont professionnel invoquait sans la nommer, donnée comme utile aux établissements accueillant des personnes handicapées vieillissantes.</w:t>
        </w:r>
      </w:hyperlink>
    </w:p>
    <w:p>
      <w:pPr>
        <w:spacing w:after="120"/>
      </w:pPr>
      <w:r>
        <w:rPr>
          <w:rFonts w:ascii="Times New Roman" w:cs="Times New Roman" w:eastAsia="Times New Roman" w:hAnsi="Times New Roman"/>
          <w:color w:val="1F2937"/>
          <w:sz w:val="22"/>
          <w:szCs w:val="22"/>
        </w:rPr>
        <w:t xml:space="preserve">→ </w:t>
      </w:r>
      <w:hyperlink w:history="1" r:id="rIdanesmsantehandicap13">
        <w:r>
          <w:rPr>
            <w:rFonts w:ascii="Times New Roman" w:cs="Times New Roman" w:eastAsia="Times New Roman" w:hAnsi="Times New Roman"/>
            <w:color w:val="1155CC"/>
            <w:sz w:val="22"/>
            <w:szCs w:val="22"/>
            <w:u w:val="single"/>
          </w:rPr>
          <w:t xml:space="preserve">ANESM — L'accompagnement à la santé de la personne handicapée (juillet 2013) : le volet santé, fin de vie comprise, pour le secteur du handicap.</w:t>
        </w:r>
      </w:hyperlink>
    </w:p>
    <w:p>
      <w:pPr>
        <w:spacing w:after="100"/>
      </w:pPr>
      <w:r>
        <w:rPr>
          <w:rFonts w:ascii="Times New Roman" w:cs="Times New Roman" w:eastAsia="Times New Roman" w:hAnsi="Times New Roman"/>
          <w:i/>
          <w:iCs/>
          <w:color w:val="9CA3AF"/>
          <w:sz w:val="20"/>
          <w:szCs w:val="20"/>
        </w:rPr>
        <w:t xml:space="preserve">⚠️ Rigpa Wiki (rigpawiki.org) — retourne 403 anti-robot mais la page existe. À consulter directement dans un navigateur.</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Prochaine leçon — Leçon 14 / 20</w:t>
      </w:r>
    </w:p>
    <w:p>
      <w:pPr>
        <w:spacing w:after="120"/>
      </w:pPr>
      <w:r>
        <w:rPr>
          <w:rFonts w:ascii="Times New Roman" w:cs="Times New Roman" w:eastAsia="Times New Roman" w:hAnsi="Times New Roman"/>
          <w:color w:val="1F2937"/>
          <w:sz w:val="22"/>
          <w:szCs w:val="22"/>
        </w:rPr>
        <w:t xml:space="preserve">Thème : </w:t>
      </w:r>
      <w:r>
        <w:rPr>
          <w:rFonts w:ascii="Times New Roman" w:cs="Times New Roman" w:eastAsia="Times New Roman" w:hAnsi="Times New Roman"/>
          <w:b/>
          <w:bCs/>
          <w:color w:val="1F2937"/>
          <w:sz w:val="22"/>
          <w:szCs w:val="22"/>
        </w:rPr>
        <w:t xml:space="preserve">Le corps d'arc-en-ciel : sources textuelles et récits</w:t>
      </w:r>
      <w:r>
        <w:rPr>
          <w:rFonts w:ascii="Times New Roman" w:cs="Times New Roman" w:eastAsia="Times New Roman" w:hAnsi="Times New Roman"/>
          <w:color w:val="1F2937"/>
          <w:sz w:val="22"/>
          <w:szCs w:val="22"/>
        </w:rPr>
        <w:t xml:space="preserve">. Nous examinerons les témoignages de dissolution du corps physique en lumière à la mort, les textes qui en font mention (Padmasambhava, Longchenpa, maîtres contemporains), et ce que cela signifie dans la pratique — entre phénomène observable, récit hagiographique et implication pour la pratique de tögal.</w:t>
      </w:r>
    </w:p>
    <w:p>
      <w:pPr>
        <w:spacing w:after="200" w:before="200"/>
      </w:pPr>
      <w:r>
        <w:rPr>
          <w:color w:val="CCCCCC"/>
          <w:sz w:val="18"/>
          <w:szCs w:val="18"/>
        </w:rPr>
        <w:t xml:space="preserve">─────────────────────────────────────────</w:t>
      </w:r>
    </w:p>
    <w:p>
      <w:pPr>
        <w:jc w:val="center"/>
      </w:pPr>
      <w:r>
        <w:rPr>
          <w:rFonts w:ascii="Times New Roman" w:cs="Times New Roman" w:eastAsia="Times New Roman" w:hAnsi="Times New Roman"/>
          <w:i/>
          <w:iCs/>
          <w:color w:val="9CA3AF"/>
          <w:sz w:val="20"/>
          <w:szCs w:val="20"/>
        </w:rPr>
        <w:t xml:space="preserve">Parcours Dzogchen — Leçon 13/20 · 25 août 2026 · Usage personnel</w:t>
      </w:r>
    </w:p>
    <w:p>
      <w:pPr>
        <w:spacing w:after="120" w:before="320"/>
      </w:pPr>
      <w:r>
        <w:rPr>
          <w:rFonts w:ascii="Times New Roman" w:cs="Times New Roman" w:eastAsia="Times New Roman" w:hAnsi="Times New Roman"/>
          <w:b/>
          <w:bCs/>
          <w:color w:val="1B3A6B"/>
          <w:sz w:val="30"/>
          <w:szCs w:val="30"/>
        </w:rPr>
        <w:t xml:space="preserve">📝 Journal des corrections</w:t>
      </w:r>
    </w:p>
    <w:p>
      <w:pPr>
        <w:spacing w:after="120"/>
      </w:pPr>
      <w:r>
        <w:rPr>
          <w:rFonts w:ascii="Times New Roman" w:cs="Times New Roman" w:eastAsia="Times New Roman" w:hAnsi="Times New Roman"/>
          <w:color w:val="1F2937"/>
          <w:sz w:val="22"/>
          <w:szCs w:val="22"/>
        </w:rPr>
        <w:t xml:space="preserve">Leçon produite et relue le 25/08/2026. Les corrections sont fondues dans le texte ci-dessus ; les formulations d'origine sont conservées ici.</w:t>
      </w:r>
    </w:p>
    <w:p>
      <w:pPr>
        <w:spacing w:after="120"/>
      </w:pPr>
      <w:r>
        <w:rPr>
          <w:rFonts w:ascii="Times New Roman" w:cs="Times New Roman" w:eastAsia="Times New Roman" w:hAnsi="Times New Roman"/>
          <w:color w:val="1F2937"/>
          <w:sz w:val="22"/>
          <w:szCs w:val="22"/>
        </w:rPr>
        <w:t xml:space="preserve">1. Pont professionnel — une RBPP invoquée sans être nommée.</w:t>
      </w:r>
    </w:p>
    <w:p>
      <w:pPr>
        <w:spacing w:after="120"/>
      </w:pPr>
      <w:r>
        <w:rPr>
          <w:rFonts w:ascii="Times New Roman" w:cs="Times New Roman" w:eastAsia="Times New Roman" w:hAnsi="Times New Roman"/>
          <w:color w:val="1F2937"/>
          <w:sz w:val="22"/>
          <w:szCs w:val="22"/>
        </w:rPr>
        <w:t xml:space="preserve">Version initiale : « Or les RBPP HAS sur l'accompagnement en ESSMS soulignent l'importance d'une culture palliative inclusive. » Aucune recommandation n'était citée, et « culture palliative inclusive » n'est pas une formulation de la HAS. Deux recommandations existent pourtant et se nomment : « Accompagner la fin de vie des personnes âgées en Ehpad » (ANESM, reprise par la HAS), explicitement présentée comme utile aux établissements accueillant des personnes handicapées vieillissantes, et « L'accompagnement à la santé de la personne handicapée » (ANESM, juillet 2013). Les deux ont été ajoutées en ressources, testées le 25/08/2026. Le paragraphe précise désormais que les gestes recommandés — rester présent, parler doucement, ne pas laisser la personne seule — sont fondés dans ces textes sans nécessiter de cosmologie, et que ce que le parcours apporte relève de la préparation personnelle, non d'un contenu à transmettre en équipe.</w:t>
      </w:r>
    </w:p>
    <w:p>
      <w:pPr>
        <w:spacing w:after="120"/>
      </w:pPr>
      <w:r>
        <w:rPr>
          <w:rFonts w:ascii="Times New Roman" w:cs="Times New Roman" w:eastAsia="Times New Roman" w:hAnsi="Times New Roman"/>
          <w:color w:val="1F2937"/>
          <w:sz w:val="22"/>
          <w:szCs w:val="22"/>
        </w:rPr>
        <w:t xml:space="preserve">2. Réception occidentale du Bardo Thödol — un ajout, pas une correction.</w:t>
      </w:r>
    </w:p>
    <w:p>
      <w:pPr>
        <w:spacing w:after="120"/>
      </w:pPr>
      <w:r>
        <w:rPr>
          <w:rFonts w:ascii="Times New Roman" w:cs="Times New Roman" w:eastAsia="Times New Roman" w:hAnsi="Times New Roman"/>
          <w:color w:val="1F2937"/>
          <w:sz w:val="22"/>
          <w:szCs w:val="22"/>
        </w:rPr>
        <w:t xml:space="preserve">La leçon distinguait honnêtement le Bardo Thödol des enseignements dzogchen, mais ne disait rien de l'histoire du texte en Occident, alors qu'elle citait la Theosophical Society en ressource. La page Wikipédia qu'elle utilise indique que le titre « Livre tibétain des morts » vient de la traduction d'Evans-Wentz (Oxford University Press, 1927), que celui-ci ne lisait pas le tibétain — le travail revenant pour l'essentiel à Lama Kazi Dawa Samdup — et que son approche y est décrite comme « ni tibétaine ni bouddhiste, mais théosophique et védantiste » ; l'édition de 1965 ajoute le commentaire de Carl Jung. Un paragraphe le dit maintenant, avec sa raison d'être : dater une reformulation ne disqualifie rien, cela situe le registre de ce qu'on lit.</w:t>
      </w:r>
    </w:p>
    <w:p>
      <w:pPr>
        <w:spacing w:after="120"/>
      </w:pPr>
      <w:r>
        <w:rPr>
          <w:rFonts w:ascii="Times New Roman" w:cs="Times New Roman" w:eastAsia="Times New Roman" w:hAnsi="Times New Roman"/>
          <w:color w:val="1F2937"/>
          <w:sz w:val="22"/>
          <w:szCs w:val="22"/>
        </w:rPr>
        <w:t xml:space="preserve">3. Sources — Achard référencé correctement, Wikipédia rétrogradée.</w:t>
      </w:r>
    </w:p>
    <w:p>
      <w:pPr>
        <w:spacing w:after="120"/>
      </w:pPr>
      <w:r>
        <w:rPr>
          <w:rFonts w:ascii="Times New Roman" w:cs="Times New Roman" w:eastAsia="Times New Roman" w:hAnsi="Times New Roman"/>
          <w:color w:val="1F2937"/>
          <w:sz w:val="22"/>
          <w:szCs w:val="22"/>
        </w:rPr>
        <w:t xml:space="preserve">Jean-Luc Achard était cité via un blog personnel. Il dirige la Revue d'Études Tibétaines (CNRS / CRCAO, UMR 8155), à comité de lecture et en accès libre : c'est cette référence qui a été ajoutée, le blog étant conservé mais signalé comme non éditorialisé. L'entrée Wikipédia sur le Bardo Thödol est signalée comme source tertiaire, et son intérêt réel — la section sur la réception occidentale — est indiqué.</w:t>
      </w:r>
    </w:p>
    <w:p>
      <w:pPr>
        <w:spacing w:after="120"/>
      </w:pPr>
      <w:r>
        <w:rPr>
          <w:rFonts w:ascii="Times New Roman" w:cs="Times New Roman" w:eastAsia="Times New Roman" w:hAnsi="Times New Roman"/>
          <w:color w:val="1F2937"/>
          <w:sz w:val="22"/>
          <w:szCs w:val="22"/>
        </w:rPr>
        <w:t xml:space="preserve">Vérifié lors de la relecture et inchangé : les six bardos et leurs noms tibétains ; les dates de Karma Lingpa (1326-1386) et l'attribution du terma ; l'ordre de la dissolution des éléments (terre, eau, feu, air, conscience) ; les sept jours de déités paisibles puis courroucées ; et la thèse centrale — la claire lumière se lève pour tous les êtres, seule sa reconnaissance distingue.</w:t>
      </w:r>
    </w:p>
    <w:sectPr>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retachardcrcaocnrs1" Type="http://schemas.openxmlformats.org/officeDocument/2006/relationships/hyperlink" Target="https://www.digitalhimalaya.com/collections/journals/ret/" TargetMode="External"/><Relationship Id="rIdhasfindevieehpad202" Type="http://schemas.openxmlformats.org/officeDocument/2006/relationships/hyperlink" Target="https://www.has-sante.fr/jcms/c_2833689/fr/accompagner-la-fin-de-vie-des-personnes-agees-en-ehpad" TargetMode="External"/><Relationship Id="rIdanesmsantehandicap13" Type="http://schemas.openxmlformats.org/officeDocument/2006/relationships/hyperlink" Target="https://www.has-sante.fr/upload/docs/application/pdf/2018-03/anesm-rbpp-accompagnement_sante-juillet_2013.pdf" TargetMode="External"/><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kq0uivqqdtxvzxtielfw" Type="http://schemas.openxmlformats.org/officeDocument/2006/relationships/hyperlink" Target="https://en.wikipedia.org/wiki/Bardo" TargetMode="External"/><Relationship Id="rId_bkmsl7u0ox4itbn5sttb" Type="http://schemas.openxmlformats.org/officeDocument/2006/relationships/hyperlink" Target="https://en.wikipedia.org/wiki/Bardo_Thodol" TargetMode="External"/><Relationship Id="rIdbmf6mvomyee1gkwlq_lx9" Type="http://schemas.openxmlformats.org/officeDocument/2006/relationships/hyperlink" Target="https://www.newworldencyclopedia.org/entry/Tibetan_Book_of_the_Dead" TargetMode="External"/><Relationship Id="rIdmoqb01rrgthsxzt8yw9rz" Type="http://schemas.openxmlformats.org/officeDocument/2006/relationships/hyperlink" Target="https://khyungmkhar.blogspot.com/2020/10/la-voie-dzogchen-de-la-claire-lumiere.html" TargetMode="External"/><Relationship Id="rIdw7hts6vkqwa9lsik6np7a" Type="http://schemas.openxmlformats.org/officeDocument/2006/relationships/hyperlink" Target="https://www.theosophical.org/publications/quest-magazine/sp-1550110798"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2026-08-25T06:07:21.336Z</dcterms:created>
  <dcterms:modified xsi:type="dcterms:W3CDTF">2026-08-25T06:07:21.337Z</dcterms:modified>
</cp:coreProperties>
</file>

<file path=docProps/custom.xml><?xml version="1.0" encoding="utf-8"?>
<Properties xmlns="http://schemas.openxmlformats.org/officeDocument/2006/custom-properties" xmlns:vt="http://schemas.openxmlformats.org/officeDocument/2006/docPropsVTypes"/>
</file>