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Psychopathologie clinique n°02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2937"/>
          <w:sz w:val="32"/>
          <w:szCs w:val="32"/>
        </w:rPr>
        <w:t xml:space="preserve">Normal et Pathologique — Critères, Continuum, Classifications CIM-11 &amp; DSM-5-TR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Date : 22 juin 2026  •  Module Fondamental — Leçon 2/20</w:t>
      </w:r>
    </w:p>
    <w:p>
      <w:pPr>
        <w:shd w:fill="FFF4E5" w:color="auto" w:val="clear"/>
        <w:spacing w:after="80" w:before="80"/>
        <w:ind w:left="288" w:right="288"/>
      </w:pPr>
      <w:r>
        <w:rPr>
          <w:rFonts w:ascii="Times New Roman" w:cs="Times New Roman" w:eastAsia="Times New Roman" w:hAnsi="Times New Roman"/>
          <w:i/>
          <w:iCs/>
          <w:color w:val="92400E"/>
          <w:sz w:val="20"/>
          <w:szCs w:val="20"/>
        </w:rPr>
        <w:t xml:space="preserve">⚠️ Corrigé le 06/09/2026 — cette leçon annonçait un parcours de 16 leçons (« 2/16 »). Le parcours a été étendu de 16 à 20 leçons entre le 10 et le 14 août 2026 : les leçons 01 à 09 portaient encore l’ancien total, les leçons 10 et suivantes le nouveau. Seul le dénominateur a été repris ici ; le contenu de cette leçon n’a pas été relu à cette occasion.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Parcours : Introduction (L1) ✓  →  Normal/Pathologique (L2)  →  Sémiologie (L3)…</w:t>
      </w: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⚠️ Cadre déontologique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Ces leçons visent à COMPRENDRE la psychopathologie pour mieux observer, accompagner et orienter — en aucun cas à poser un diagnostic, acte réservé aux médecins psychiatres et psychologues cliniciens. Posture non stigmatisante, centrée sur la personne et le rétablissement.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Bdr>
          <w:bottom w:val="single" w:color="1B3A6B" w:sz="6" w:space="1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et continuité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l'issue de cette leçon, tu seras capable de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Distinguer le normal du pathologique à l'aide de critères opérationnels (souffrance, durée, retentissement, inadaptation)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Situer un symptôme sur un continuum plutôt que dans une case binaire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Différencier les deux grandes classifications mondiales (CIM-11 et DSM-5-TR) et comprendre leur usage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Appliquer ces repères à des situations d'accompagnement en ESSMS</w:t>
      </w:r>
    </w:p>
    <w:p>
      <w:pPr>
        <w:spacing w:after="80" w:before="80"/>
      </w:pP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🔗 Lien avec la L1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leçon 1 a posé les grands modèles explicatifs de la psychopathologie (médical, psychanalytique, cognitivo-comportemental, phénoménologique, systémique). Cette leçon 2 répond à la question préalable à tout modèle : à partir de quand parle-t-on réellement de pathologie ? Et comment les systèmes internationaux organisent-ils cette réponse ?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Bdr>
          <w:bottom w:val="single" w:color="1B3A6B" w:sz="6" w:space="1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(20%) — Les fondamentaux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La question fondamentale : où commence le pathologique ?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frontière entre le normal et le pathologique n'est pas une ligne nette — c'est une zone de gradient. Canguilhem (1943) l'a montré : la norme est relative à l'individu et à son milieu. Ce qui est pathologique pour l'un peut être adaptatif pour un autre.</w:t>
      </w:r>
    </w:p>
    <w:p>
      <w:pPr>
        <w:spacing w:after="60" w:before="6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Quatre grands modèles de définition coexistent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Modèle statistique : est pathologique ce qui s'écarte significativement de la moyenne. Limite : le génie et le retard intellectuel sévère seraient tous deux 'pathologiques'.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Modèle médical/biologique : est pathologique ce qui résulte d'un dysfonctionnement organique ou neurochimique. Limite : réduit la psychopathologie à la biologie.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Modèle normatif/social : est pathologique ce qui transgresse les normes sociales et culturelles. Limite : le conformisme devient critère de santé (risques évidents).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Modèle fonctionnel et subjectif (consensus actuel) : est pathologique ce qui génère une souffrance significative ET/OU un retentissement fonctionnel — indépendamment de la norme statistique ou sociale.</w:t>
      </w:r>
    </w:p>
    <w:p>
      <w:pPr>
        <w:spacing w:after="80" w:before="80"/>
      </w:pPr>
    </w:p>
    <w:p>
      <w:pPr>
        <w:shd w:fill="F3F4F6" w:val="clear"/>
        <w:spacing w:after="100" w:before="100"/>
        <w:ind w:left="576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« Les symptômes entraînent une souffrance cliniquement significative ou une altération du fonctionnement social, professionnel ou dans d'autres domaines importants. — DSM-5-TR, APA (2022) »</w:t>
      </w:r>
    </w:p>
    <w:p>
      <w:pPr>
        <w:spacing w:after="80" w:before="8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Les critères opérationnels — Le tableau de référence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consensus actuel (DSM-5-TR / CIM-11) retient un faisceau de critères 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Exemple concret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Souffrance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L'individu vit une détresse subjective significative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Anxiété paralysante quotidienne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Durée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Persistance dans le temps au-delà d'un seuil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Dépression &gt; 2 semaines (DSM-5-TR)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Retentissement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Altération du fonctionnement social, pro, familial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Incapacité à travailler ou à maintenir des liens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Inadaptation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Réponse non ajustée au contexte environnemental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Phobie sociale invalidante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Déviance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Écart aux normes (critère insuffisant seul)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Délire à distinguer de la créativité</w:t>
            </w:r>
          </w:p>
        </w:tc>
      </w:tr>
    </w:tbl>
    <w:p>
      <w:pPr>
        <w:spacing w:after="40" w:before="100"/>
      </w:pP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💡 Règle du faisceau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Aucun critère isolé ne suffit. C'est la COMBINAISON souffrance + durée + retentissement qui permet de qualifier un trouble. Un seuil de gravité est toujours précisé dans les classifications.</w:t>
      </w:r>
    </w:p>
    <w:p>
      <w:pPr>
        <w:spacing w:after="80" w:before="10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Le continuum normal-pathologique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Les recherches contemporaines (dont les travaux du HiTOP — Hierarchical Taxonomy of Psychopathology) soutiennent que la plupart des troubles s'inscrivent sur un continuum dimensionnel, et non dans des catégories étanches.</w:t>
      </w:r>
    </w:p>
    <w:p>
      <w:pPr>
        <w:spacing w:after="60" w:before="6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Exemple : l'anxiété existe chez tout le monde. Elle devient pathologique quand elle est persistante, disproportionnée, et qu'elle altère le fonctionnement quotidien — pas parce qu'elle appartient à une 'catégorie' différente de l'anxiété normale.</w:t>
      </w:r>
    </w:p>
    <w:p>
      <w:pPr>
        <w:spacing w:after="60" w:before="60"/>
      </w:pPr>
    </w:p>
    <w:p>
      <w:pPr>
        <w:shd w:fill="F3F4F6" w:val="clear"/>
        <w:spacing w:after="100" w:before="100"/>
        <w:ind w:left="576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« La psychanalyse ne considère pas de différence qualitative entre normal et pathologique : le pathologique est une question de degré. — Freud, repris dans Cairn.info, Research in Psychoanalysis, 2018 »</w:t>
      </w:r>
    </w:p>
    <w:p>
      <w:pPr>
        <w:spacing w:after="80" w:before="10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4. Les deux grandes classifications : CIM-11 vs DSM-5-TR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Ce sont les deux références mondiales pour identifier et nommer les troubles mentaux. Elles ne s'opposent pas mais répondent à des logiques différentes 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DSM-5-TR (APA, 2022)</w:t>
            </w:r>
          </w:p>
        </w:tc>
        <w:tc>
          <w:tcPr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CIM-11 (OMS, 2022)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Origine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Américaine — American Psychiatric Association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Internationale — OMS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Usage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Recherche + clinique (USA + monde entier)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Standard officiel international (Europe, FR)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Approche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Catégorielle (+ sections dimensionnelles)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Catégorielle + dimensionnelle (personnalité)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Nouveautés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Révision TR : critères affinés, spectre transdiag.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Troubles complexes, sensibilité culturelle, lifecourse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Diagnostic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Critères précis en listes (checklists)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Descriptions cliniques + exigences diagnostiques</w:t>
            </w:r>
          </w:p>
        </w:tc>
      </w:tr>
    </w:tbl>
    <w:p>
      <w:pPr>
        <w:spacing w:after="80" w:before="100"/>
      </w:pP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🆕 CIM-11 (2022)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manuel CDDR 2024 (Clinical Descriptions and Diagnostic Requirements) publié par l'OMS en mars 2024 intègre : le TSPT complexe, le trouble du jeu vidéo, le trouble du deuil prolongé. Il adopte une approche 'lifecourse' (enfance → grand âge) et est sensible à la diversité culturelle. Source : OMS, communiqué 08/03/2024.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Bdr>
          <w:bottom w:val="single" w:color="1B3A6B" w:sz="6" w:space="1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(80%) — Mise en application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Décoder les critères en situation (compréhension active)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Lis les trois vignettes ci-dessous. Pour chacune, réponds aux questions en t'appuyant sur les critères du tableau de référence.</w:t>
      </w:r>
    </w:p>
    <w:p>
      <w:pPr>
        <w:spacing w:after="60" w:before="60"/>
      </w:pP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Vignette A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Marc, 45 ans, vient de perdre son père. Depuis 3 semaines, il pleure fréquemment, dort mal, mange peu et a du mal à se concentrer au travail. Il dit se sentir 'vide'. Ses collègues remarquent qu'il est moins efficace, mais il parvient encore à accomplir ses missions essentielles.</w:t>
      </w: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Vignette B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Sophie, 32 ans, ne sort plus de chez elle depuis 4 mois par peur de croiser des inconnus. Elle a perdu son emploi, ses amis ne la voient plus. Elle dit que 'le monde extérieur est insupportable' mais n'identifie pas cela comme un problème.</w:t>
      </w: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Vignette C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Thomas, 22 ans, passe 6h par jour à vérifier qu'il a bien fermé les portes et éteint le gaz. Il le sait rationnel lui-même, mais l'angoisse revient dès qu'il arrête. Il arrive systématiquement en retard à ses rendez-vous.</w:t>
      </w:r>
    </w:p>
    <w:p>
      <w:pPr>
        <w:spacing w:after="60" w:before="8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Pour chaque vignette, note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Quels critères sont présents parmi : souffrance / durée / retentissement / inadaptation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S'agirait-il plutôt d'une réaction normale, d'une zone grise, ou d'un trouble probable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Quelle classification (CIM-11 / DSM-5-TR) utiliserais-tu si tu travaillais avec l'équipe médicale pour en parler ?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(Réponses en fin de section — ou mets en pause et réfléchis avant de lire la suite.)</w:t>
      </w:r>
    </w:p>
    <w:p>
      <w:pPr>
        <w:spacing w:after="80" w:before="80"/>
      </w:pP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💬 Repères pour les vignettes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 : deuil normal (&lt; 2 mois, retentissement partiel) — pas de trouble selon DSM-5-TR si les critères durée/retentissement ne sont pas franchis. B : probable phobie sociale sévère / agoraphobie — tous les critères sont présents (durée, retentissement majeur). C : compatible TOC (obsessions + compulsions + retentissement + conscience de l'irrationalité = critère typique). Marc = zone grise à surveiller ; Sophie et Thomas = trouble probable nécessitant une orientation.</w:t>
      </w:r>
    </w:p>
    <w:p>
      <w:pPr>
        <w:spacing w:after="80" w:before="12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Cartographier le continuum (repérage)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Place les situations suivantes sur un axe de continuum allant de 'Normal/Adaptatif' à 'Pathologique probable'. Justifie chaque placement par un ou plusieurs critères.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adolescent qui mange peu avant un examen important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Une personne qui ne mange plus depuis 3 mois et a perdu 15kg (anorexie restrictive sévère)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manager qui vérifie 2x ses emails importants avant envoi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professionnel qui ne peut pas quitter le travail sans avoir relu chaque document 10 fois pendant 2 heures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Une personne deuillée qui pleure encore 3 semaines après le décès de son conjoint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Une personne qui présente un syndrome de deuil prolongé, 18 mois après le décès, avec isolement complet</w:t>
      </w:r>
    </w:p>
    <w:p>
      <w:pPr>
        <w:spacing w:after="60" w:before="8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Réflexion complémentaire : que remarques-tu dans tes placements ? Y a-t-il des cas où tu as hésité ? Qu'est-ce qui a rendu la décision difficile ?</w:t>
      </w: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🎯 Objectif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Intérioriser que la distinction n'est pas une case à cocher, mais une appréciation clinique qui tient compte du contexte, de la durée, et de l'intensité. Les situations 1, 3, 5 sont dans la zone normale/adaptative ; 2, 4, 6 sont dans la zone trouble probable.</w:t>
      </w:r>
    </w:p>
    <w:p>
      <w:pPr>
        <w:spacing w:after="80" w:before="12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Manipuler les classifications (pratique concrète)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Objectif : te familiariser avec la logique des deux classifications, sans poser de diagnostic.</w:t>
      </w:r>
    </w:p>
    <w:p>
      <w:pPr>
        <w:spacing w:after="60" w:before="6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Étape 1 — Consulte la structure générale de la CIM-11 pour les troubles mentaux 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→ </w:t>
      </w:r>
      <w:hyperlink w:history="1" r:id="rIdsfbupbxwdfnrkqcs6obou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CIM-11 — Troubles mentaux, du comportement et du neurodéveloppement (Chapitre 6)</w:t>
        </w:r>
      </w:hyperlink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Étape 2 — Repère les grandes catégories du Chapitre 6 (ex. : Troubles anxieux, Troubles de l'humeur, Troubles psychotiques…).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Étape 3 — Pour l'une de ces catégories, note la définition générale proposée par l'OMS. Que dit-elle sur les critères de durée et de retentissement ?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Étape 4 — Compare avec ce que tu saurais du DSM-5-TR sur la même catégorie (souvenir ou recherche libre). Y a-t-il des différences notables ?</w:t>
      </w:r>
    </w:p>
    <w:p>
      <w:pPr>
        <w:spacing w:after="60" w:before="60"/>
      </w:pP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💡 Ce que tu entraînes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capacité à te repérer dans des documents de référence — sans prétendre les maîtriser en détail. L'objectif est de savoir où chercher, pas de mémoriser des codes.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Bdr>
          <w:bottom w:val="single" w:color="1B3A6B" w:sz="6" w:space="1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 de synthèse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Tu travailles dans un foyer d'hébergement. Lors d'une réunion d'équipe, un professionnel dit : 'De toute façon, avec ce public, ils sont tous fous — c'est normal qu'ils se comportent comme ça.'</w:t>
      </w:r>
    </w:p>
    <w:p>
      <w:pPr>
        <w:spacing w:after="60" w:before="6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Rédige en 8 à 12 lignes une réponse argumentée à cette affirmation, en mobilisant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distinction normal/pathologique et ses critères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concept de continuum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notion de retentissement fonctionnel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Une posture non stigmatisante et centrée sur la personne</w:t>
      </w:r>
    </w:p>
    <w:p>
      <w:pPr>
        <w:spacing w:after="60" w:before="60"/>
      </w:pP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Piste de cadrage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réponse doit éviter deux écueils : la banalisation ('c'est normal pour eux') et la sur-pathologisation ('tout comportement atypique = trouble'). Elle doit pointer la nécessité d'une analyse fonctionnelle, d'une observation rigoureuse et d'une orientation vers les professionnels habilités à poser un diagnostic.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Bdr>
          <w:bottom w:val="single" w:color="1B3A6B" w:sz="6" w:space="1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— Application en ESSMS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En tant que chef de service, ces repères sont directement utiles pour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Animer un retour d'équipe après un incident comportemental : distinguer 'comportement-problème adaptatif' (réaction à un contexte défavorable) de 'symptôme pathologique' nécessitant une orientation psychiatrique.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Formuler les observations dans le DUI (Imago) : utiliser un vocabulaire descriptif et fonctionnel ('présente une agitation motrice depuis 3 jours avec retrait des repas') plutôt que des étiquettes diagnostiques ('est en crise').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Préparer une ESI (équipe soignante interdisciplinaire) ou une réunion avec le psychiatre référent : structurer les informations selon les critères souffrance / durée / retentissement, ce que les médecins reconnaissent immédiatement.</w:t>
      </w: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⚠️ Rappel déontologique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rôle du chef de service et des équipes éducatives est d'OBSERVER et de TRANSMETTRE — pas de diagnostiquer. La rigueur dans la transmission ouvre le bon chemin vers les professionnels habilités.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Bdr>
          <w:bottom w:val="single" w:color="1B3A6B" w:sz="6" w:space="1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pour approfondir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Sources mobilisées pour cette leçon :</w:t>
      </w:r>
    </w:p>
    <w:p>
      <w:pPr>
        <w:spacing w:after="2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1. </w:t>
      </w:r>
      <w:hyperlink w:history="1" r:id="rId3n41uqppq5rzcwdnkfbuj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OMS — Nouveau manuel CIM-11 CDDR (mars 2024)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Publication officielle sur les apports de la CIM-11 pour le diagnostic des troubles mentaux.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2. </w:t>
      </w:r>
      <w:hyperlink w:history="1" r:id="rIdn5eoa6jtrcqtnxmb-bw_p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Wikipedia — Mental disorder (EN)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Synthèse des critères DSM-5 et CIM-11, modèles dimensionnel vs catégoriel, historique.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3. </w:t>
      </w:r>
      <w:hyperlink w:history="1" r:id="rIduecjd_gtsawrobtpnqbhk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Cairn.info — Le continuum entre normal et pathologique en psychopathologie (Research in Psychoanalysis, 2018)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Approche psychanalytique et dimensionnelle du continuum normal/pathologique.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4. </w:t>
      </w:r>
      <w:hyperlink w:history="1" r:id="rIdr3sg0na3bjr_xzycf_yog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Cairn.info — Évaluer la souffrance psychique. Quelle place pour la psychopathologie ? (Topique, 2018)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Critères de souffrance et retentissement fonctionnel en pratique.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5. </w:t>
      </w:r>
      <w:hyperlink w:history="1" r:id="rId3kctqcptb5q9qnvwbhltv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OMS — Navigateur CIM-11 en ligne (version 2024-01)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Explorer directement les chapitres de la CIM-11.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6. </w:t>
      </w:r>
      <w:hyperlink w:history="1" r:id="rIdbevoy6wedp6pqguwyoljv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Studocu — UE Psychopathologie de l'adulte (Université de Bordeaux)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Notes de cours structurées sur les critères normal/pathologique.</w:t>
      </w:r>
    </w:p>
    <w:p>
      <w:pPr>
        <w:spacing w:after="20" w:before="6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Sources inaccessibles (rendu JS / timeout)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⛔ psycom.org — page rendue en JavaScript, non accessible en mode headless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⛔ psychologie.fr — timeout (60s) lors du WebFetch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⛔ brainball.fr/glossaire/dsm-5-tr — page rendue en JavaScript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Bdr>
          <w:bottom w:val="single" w:color="1B3A6B" w:sz="6" w:space="1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 (n°03)</w:t>
      </w: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Thème annoncé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Sémiologie psychiatrique — Repérer et nommer les signes cliniques : humeur, affects, pensée formelle, langage, perception, conscience, mémoire, comportement. L'objectif : développer un vocabulaire d'observation rigoureux pour décrire ce que tu vois en situation d'accompagnement.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9CA3AF"/>
          <w:sz w:val="18"/>
          <w:szCs w:val="18"/>
        </w:rPr>
        <w:t xml:space="preserve">Parcours Psychopathologie clinique — usage personnel, formation continue — Chef de service ESSMS — Bouches-du-Rhône (13)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fbupbxwdfnrkqcs6obou" Type="http://schemas.openxmlformats.org/officeDocument/2006/relationships/hyperlink" Target="https://icd.who.int/browse/2024-01/mms/en#334423054" TargetMode="External"/><Relationship Id="rId3n41uqppq5rzcwdnkfbuj" Type="http://schemas.openxmlformats.org/officeDocument/2006/relationships/hyperlink" Target="https://www.who.int/fr/news/item/08-03-2024-new-manual-released-to-support-diagnosis-of-mental--behavioural-and-neurodevelopmental-disorders-added-in-icd-11" TargetMode="External"/><Relationship Id="rIdn5eoa6jtrcqtnxmb-bw_p" Type="http://schemas.openxmlformats.org/officeDocument/2006/relationships/hyperlink" Target="https://en.wikipedia.org/wiki/Mental_disorder" TargetMode="External"/><Relationship Id="rIduecjd_gtsawrobtpnqbhk" Type="http://schemas.openxmlformats.org/officeDocument/2006/relationships/hyperlink" Target="https://shs.cairn.info/revue-research-in-psychoanalysis-2018-2-page-154a?lang=fr" TargetMode="External"/><Relationship Id="rIdr3sg0na3bjr_xzycf_yog" Type="http://schemas.openxmlformats.org/officeDocument/2006/relationships/hyperlink" Target="https://shs.cairn.info/revue-topique-2018-3-page-15?lang=fr" TargetMode="External"/><Relationship Id="rId3kctqcptb5q9qnvwbhltv" Type="http://schemas.openxmlformats.org/officeDocument/2006/relationships/hyperlink" Target="https://icd.who.int/browse/2024-01/mms/en" TargetMode="External"/><Relationship Id="rIdbevoy6wedp6pqguwyoljv" Type="http://schemas.openxmlformats.org/officeDocument/2006/relationships/hyperlink" Target="https://www.studocu.com/fr/document/universite-de-bordeaux/psychologie-clinique-et-pathologique/ue2-psychologie-clinique-et-pathologique-psychopathologie-de-ladulte/1773638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2026-06-22T06:08:06.499Z</dcterms:created>
  <dcterms:modified xsi:type="dcterms:W3CDTF">2026-06-22T06:08:06.501Z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