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n°06</w:t>
      </w:r>
    </w:p>
    <w:p>
      <w:pPr>
        <w:pStyle w:val="Heading1"/>
        <w:spacing w:after="200" w:before="200"/>
        <w:jc w:val="center"/>
      </w:pPr>
      <w:r>
        <w:rPr>
          <w:rFonts w:ascii="Times New Roman" w:cs="Times New Roman" w:eastAsia="Times New Roman" w:hAnsi="Times New Roman"/>
          <w:b/>
          <w:bCs/>
          <w:color w:val="1B3A6B"/>
          <w:sz w:val="52"/>
          <w:szCs w:val="52"/>
        </w:rPr>
        <w:t xml:space="preserve">Les troubles de l'humeur</w:t>
      </w:r>
    </w:p>
    <w:p>
      <w:pPr>
        <w:pStyle w:val="Heading1"/>
        <w:spacing w:after="200" w:before="200"/>
        <w:jc w:val="center"/>
      </w:pPr>
      <w:r>
        <w:rPr>
          <w:rFonts w:ascii="Times New Roman" w:cs="Times New Roman" w:eastAsia="Times New Roman" w:hAnsi="Times New Roman"/>
          <w:b/>
          <w:bCs/>
          <w:color w:val="1B3A6B"/>
          <w:sz w:val="52"/>
          <w:szCs w:val="52"/>
        </w:rPr>
        <w:t xml:space="preserve">Épisodes dépressifs et troubles bipolaires</w:t>
      </w:r>
    </w:p>
    <w:p>
      <w:pPr>
        <w:spacing w:after="60" w:before="100"/>
        <w:jc w:val="center"/>
      </w:pPr>
      <w:r>
        <w:rPr>
          <w:rFonts w:ascii="Times New Roman" w:cs="Times New Roman" w:eastAsia="Times New Roman" w:hAnsi="Times New Roman"/>
          <w:i/>
          <w:iCs/>
          <w:color w:val="666666"/>
          <w:sz w:val="20"/>
          <w:szCs w:val="20"/>
        </w:rPr>
        <w:t xml:space="preserve">Date : 20 juillet 2026  •  Module Fondamental — leçon 6/20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6/16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200" w:before="0"/>
        <w:jc w:val="center"/>
      </w:pPr>
      <w:r>
        <w:rPr>
          <w:rFonts w:ascii="Times New Roman" w:cs="Times New Roman" w:eastAsia="Times New Roman" w:hAnsi="Times New Roman"/>
          <w:i/>
          <w:iCs/>
          <w:color w:val="666666"/>
          <w:sz w:val="20"/>
          <w:szCs w:val="20"/>
        </w:rPr>
        <w:t xml:space="preserve">Parcours Psychopathologie clinique — du fondamental à l'avancé</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À l'issue de cette leçon, tu seras capable de : distinguer un épisode dépressif caractérisé (EDC) d'une tristesse ordinaire ; identifier les critères diagnostiques des troubles bipolaires de type I et II ; différencier les phases maniaques, hypomaniaques et dépressives ; et positionner ces troubles dans les classifications CIM-11 et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Lien avec la leçon 05 (troubles anxieux) : anxiété et troubles de l'humeur sont fréquemment comorbides. Un même patient peut présenter des attaques de panique ET un épisode dépressif. La sémiologie vue en leçon 03 (signes d'humeur, d'affect, de pensée) est directement mobilisée ici pour repérer les symptômes.</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 — Concepts fondamentaux</w:t>
      </w:r>
    </w:p>
    <w:p>
      <w:pPr>
        <w:pStyle w:val="Heading3"/>
        <w:spacing w:after="80" w:before="200"/>
      </w:pPr>
      <w:r>
        <w:rPr>
          <w:rFonts w:ascii="Times New Roman" w:cs="Times New Roman" w:eastAsia="Times New Roman" w:hAnsi="Times New Roman"/>
          <w:b/>
          <w:bCs/>
          <w:color w:val="1F2937"/>
          <w:sz w:val="26"/>
          <w:szCs w:val="26"/>
        </w:rPr>
        <w:t xml:space="preserve">1. Qu'est-ce qu'un trouble de l'humeur ?</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de l'humeur (ou troubles thymiques) se définissent par une altération persistante et pathologique de l'humeur — cette tonalité émotionnelle de fond qui colore l'ensemble de notre vécu. On en distingue deux grandes catégories selon la littérature clinique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dépressifs : caractérisés par une humeur triste, vide ou irritable, avec perte d'intérêt et d'énergie.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bipolaires : marqués par l'alternance (ou la coexistence) de phases d'excitation (manie ou hypomanie) et de phases dépressives, avec des périodes de stabilité.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Point épistémologique — </w:t>
      </w:r>
      <w:r>
        <w:rPr>
          <w:rFonts w:ascii="Times New Roman" w:cs="Times New Roman" w:eastAsia="Times New Roman" w:hAnsi="Times New Roman"/>
          <w:color w:val="1F2937"/>
          <w:sz w:val="22"/>
          <w:szCs w:val="22"/>
        </w:rPr>
        <w:t xml:space="preserve">Les classifications (DSM-5-TR, CIM-11) décrivent des syndromes, non des causes. Elles permettent une langue commune entre cliniciens, pas une explication étiologique. Les modèles biologiques, psychodynamiques et cognitivo-comportementaux offrent des lectures complémentaires.</w:t>
      </w:r>
    </w:p>
    <w:p>
      <w:pPr>
        <w:pStyle w:val="Heading3"/>
        <w:spacing w:after="80" w:before="200"/>
      </w:pPr>
      <w:r>
        <w:rPr>
          <w:rFonts w:ascii="Times New Roman" w:cs="Times New Roman" w:eastAsia="Times New Roman" w:hAnsi="Times New Roman"/>
          <w:b/>
          <w:bCs/>
          <w:color w:val="1F2937"/>
          <w:sz w:val="26"/>
          <w:szCs w:val="26"/>
        </w:rPr>
        <w:t xml:space="preserve">2. L'épisode dépressif caractérisé (EDC) —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 : depression-bipolarite-pratique.com, données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Un EDC est caractérisé par la présence d'au moins 5 des 9 symptômes suivants, pendant une période d'au moins deux semaines ; au moins un des symptômes doit être soit l'humeur dépressive, soit la perte d'intérêt ou de plaisir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Humeur dépressive présente la majeure partie de la journée,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Diminution marquée de l'intérêt ou du plaisir pour toutes (ou presque toutes) les activités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Perte ou gain de poids significatif, ou perturbation de l'appétit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Insomnie ou hypersomnie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5. Agitation ou ralentissement psychomoteur observable par autrui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6. Fatigue ou perte d'énergie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7. Sentiments de dévalorisation ou de culpabilité excessive ou inappropriée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8. Difficultés à penser, à se concentrer, ou à prendre des décisions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9. Pensées de mort récurrentes, idéation suicidaire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Les symptômes doivent causer une souffrance cliniquement significative ou une altération du fonctionnement social ou professionnel.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80" w:before="80"/>
        <w:ind w:left="400"/>
      </w:pPr>
      <w:r>
        <w:rPr>
          <w:rFonts w:ascii="Times New Roman" w:cs="Times New Roman" w:eastAsia="Times New Roman" w:hAnsi="Times New Roman"/>
          <w:i/>
          <w:iCs/>
          <w:color w:val="1B3A6B"/>
          <w:sz w:val="22"/>
          <w:szCs w:val="22"/>
        </w:rPr>
        <w:t xml:space="preserve">La dépression clinique se distingue de la tristesse ordinaire par sa durée, son intensité, son retentissement fonctionnel et son indépendance relative aux événements extérieurs — l'humeur reste relativement stable quelle que soit la situation. (Psycom, Troubles dépressifs)</w:t>
      </w:r>
    </w:p>
    <w:p>
      <w:pPr>
        <w:pStyle w:val="Heading3"/>
        <w:spacing w:after="80" w:before="200"/>
      </w:pPr>
      <w:r>
        <w:rPr>
          <w:rFonts w:ascii="Times New Roman" w:cs="Times New Roman" w:eastAsia="Times New Roman" w:hAnsi="Times New Roman"/>
          <w:b/>
          <w:bCs/>
          <w:color w:val="1F2937"/>
          <w:sz w:val="26"/>
          <w:szCs w:val="26"/>
        </w:rPr>
        <w:t xml:space="preserve">3. Les troubles bipolaires — types et phases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bipolaires sont caractérisés par une alternance d'épisodes maniaques ou hypomaniaques et d'épisodes dépressifs, entrecoupés de périodes de stabilité. La littérature clinique distingue classiquement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 : au moins un épisode maniaque complet (≥ 7 jours ou hospitalisation). Les EDC sont fréquents mais non obligatoires pour le diagnostic.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II : au moins un épisode hypomaniaque (≥ 4 jours, moins intense, sans conséquences graves) ET au moins un EDC. Pas d'épisode maniaque franc.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cyclothymique : alternance de symptômes hypomaniaques et dépressifs sub-syndromiques pendant ≥ 2 ans, sans atteindre les seuils d'un épisode complet.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Signes d'un épisode maniaque (selon Psycom, Troubles bipolaires) :</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Humeur euphorique ou irritable (≥ 1 semaine)</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Augmentation de l'énergie, discours accéléré, fuite des idées</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Estime de soi exagérée, idées de grandeur</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Diminution du besoin de sommeil</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Comportements impulsifs et à risque (achats, sexualité, projets délirants)</w:t>
      </w:r>
    </w:p>
    <w:p>
      <w:pPr>
        <w:pStyle w:val="Heading3"/>
        <w:spacing w:after="80" w:before="200"/>
      </w:pPr>
      <w:r>
        <w:rPr>
          <w:rFonts w:ascii="Times New Roman" w:cs="Times New Roman" w:eastAsia="Times New Roman" w:hAnsi="Times New Roman"/>
          <w:b/>
          <w:bCs/>
          <w:color w:val="1F2937"/>
          <w:sz w:val="26"/>
          <w:szCs w:val="26"/>
        </w:rPr>
        <w:t xml:space="preserve">4. Tableau comparatif DSM-5-TR vs CIM-11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color="1B3A6B" w:val="solid"/>
          </w:tcPr>
          <w:p>
            <w:r>
              <w:rPr>
                <w:rFonts w:ascii="Times New Roman" w:cs="Times New Roman" w:eastAsia="Times New Roman" w:hAnsi="Times New Roman"/>
                <w:b/>
                <w:bCs/>
                <w:color w:val="FFFFFF"/>
                <w:sz w:val="20"/>
                <w:szCs w:val="20"/>
              </w:rPr>
              <w:t xml:space="preserve">Critère</w:t>
            </w:r>
          </w:p>
        </w:tc>
        <w:tc>
          <w:tcPr>
            <w:shd w:fill="1B3A6B" w:color="1B3A6B" w:val="solid"/>
          </w:tcPr>
          <w:p>
            <w:r>
              <w:rPr>
                <w:rFonts w:ascii="Times New Roman" w:cs="Times New Roman" w:eastAsia="Times New Roman" w:hAnsi="Times New Roman"/>
                <w:b/>
                <w:bCs/>
                <w:color w:val="FFFFFF"/>
                <w:sz w:val="20"/>
                <w:szCs w:val="20"/>
              </w:rPr>
              <w:t xml:space="preserve">DSM-5-TR (APA)</w:t>
            </w:r>
          </w:p>
        </w:tc>
        <w:tc>
          <w:tcPr>
            <w:shd w:fill="1B3A6B" w:color="1B3A6B" w:val="solid"/>
          </w:tcPr>
          <w:p>
            <w:r>
              <w:rPr>
                <w:rFonts w:ascii="Times New Roman" w:cs="Times New Roman" w:eastAsia="Times New Roman" w:hAnsi="Times New Roman"/>
                <w:b/>
                <w:bCs/>
                <w:color w:val="FFFFFF"/>
                <w:sz w:val="20"/>
                <w:szCs w:val="20"/>
              </w:rPr>
              <w:t xml:space="preserve">CIM-11 (OMS)</w:t>
            </w:r>
          </w:p>
        </w:tc>
      </w:tr>
      <w:tr>
        <w:tc>
          <w:p>
            <w:r>
              <w:rPr>
                <w:rFonts w:ascii="Times New Roman" w:cs="Times New Roman" w:eastAsia="Times New Roman" w:hAnsi="Times New Roman"/>
                <w:color w:val="1F2937"/>
                <w:sz w:val="20"/>
                <w:szCs w:val="20"/>
              </w:rPr>
              <w:t xml:space="preserve">Org.</w:t>
            </w:r>
          </w:p>
        </w:tc>
        <w:tc>
          <w:p>
            <w:r>
              <w:rPr>
                <w:rFonts w:ascii="Times New Roman" w:cs="Times New Roman" w:eastAsia="Times New Roman" w:hAnsi="Times New Roman"/>
                <w:color w:val="1F2937"/>
                <w:sz w:val="20"/>
                <w:szCs w:val="20"/>
              </w:rPr>
              <w:t xml:space="preserve">American Psychiatric Association</w:t>
            </w:r>
          </w:p>
        </w:tc>
        <w:tc>
          <w:p>
            <w:r>
              <w:rPr>
                <w:rFonts w:ascii="Times New Roman" w:cs="Times New Roman" w:eastAsia="Times New Roman" w:hAnsi="Times New Roman"/>
                <w:color w:val="1F2937"/>
                <w:sz w:val="20"/>
                <w:szCs w:val="20"/>
              </w:rPr>
              <w:t xml:space="preserve">Organisation mondiale de la Santé</w:t>
            </w:r>
          </w:p>
        </w:tc>
      </w:tr>
      <w:tr>
        <w:tc>
          <w:tcPr>
            <w:shd w:fill="EEF2F7" w:color="EEF2F7" w:val="solid"/>
          </w:tcPr>
          <w:p>
            <w:r>
              <w:rPr>
                <w:rFonts w:ascii="Times New Roman" w:cs="Times New Roman" w:eastAsia="Times New Roman" w:hAnsi="Times New Roman"/>
                <w:color w:val="1F2937"/>
                <w:sz w:val="20"/>
                <w:szCs w:val="20"/>
              </w:rPr>
              <w:t xml:space="preserve">EDC — durée</w:t>
            </w:r>
          </w:p>
        </w:tc>
        <w:tc>
          <w:tcPr>
            <w:shd w:fill="EEF2F7" w:color="EEF2F7" w:val="solid"/>
          </w:tcPr>
          <w:p>
            <w:r>
              <w:rPr>
                <w:rFonts w:ascii="Times New Roman" w:cs="Times New Roman" w:eastAsia="Times New Roman" w:hAnsi="Times New Roman"/>
                <w:color w:val="1F2937"/>
                <w:sz w:val="20"/>
                <w:szCs w:val="20"/>
              </w:rPr>
              <w:t xml:space="preserve">≥ 2 semaines, ≥ 5/9 symptômes</w:t>
            </w:r>
          </w:p>
        </w:tc>
        <w:tc>
          <w:tcPr>
            <w:shd w:fill="EEF2F7" w:color="EEF2F7" w:val="solid"/>
          </w:tcPr>
          <w:p>
            <w:r>
              <w:rPr>
                <w:rFonts w:ascii="Times New Roman" w:cs="Times New Roman" w:eastAsia="Times New Roman" w:hAnsi="Times New Roman"/>
                <w:color w:val="1F2937"/>
                <w:sz w:val="20"/>
                <w:szCs w:val="20"/>
              </w:rPr>
              <w:t xml:space="preserve">≥ 2 semaines, critères similaires</w:t>
            </w:r>
          </w:p>
        </w:tc>
      </w:tr>
      <w:tr>
        <w:tc>
          <w:p>
            <w:r>
              <w:rPr>
                <w:rFonts w:ascii="Times New Roman" w:cs="Times New Roman" w:eastAsia="Times New Roman" w:hAnsi="Times New Roman"/>
                <w:color w:val="1F2937"/>
                <w:sz w:val="20"/>
                <w:szCs w:val="20"/>
              </w:rPr>
              <w:t xml:space="preserve">Manie TB-I</w:t>
            </w:r>
          </w:p>
        </w:tc>
        <w:tc>
          <w:p>
            <w:r>
              <w:rPr>
                <w:rFonts w:ascii="Times New Roman" w:cs="Times New Roman" w:eastAsia="Times New Roman" w:hAnsi="Times New Roman"/>
                <w:color w:val="1F2937"/>
                <w:sz w:val="20"/>
                <w:szCs w:val="20"/>
              </w:rPr>
              <w:t xml:space="preserve">≥ 1 semaine (ou hospitalisation)</w:t>
            </w:r>
          </w:p>
        </w:tc>
        <w:tc>
          <w:p>
            <w:r>
              <w:rPr>
                <w:rFonts w:ascii="Times New Roman" w:cs="Times New Roman" w:eastAsia="Times New Roman" w:hAnsi="Times New Roman"/>
                <w:color w:val="1F2937"/>
                <w:sz w:val="20"/>
                <w:szCs w:val="20"/>
              </w:rPr>
              <w:t xml:space="preserve">≥ 1 semaine, critères proches</w:t>
            </w:r>
          </w:p>
        </w:tc>
      </w:tr>
      <w:tr>
        <w:tc>
          <w:tcPr>
            <w:shd w:fill="EEF2F7" w:color="EEF2F7" w:val="solid"/>
          </w:tcPr>
          <w:p>
            <w:r>
              <w:rPr>
                <w:rFonts w:ascii="Times New Roman" w:cs="Times New Roman" w:eastAsia="Times New Roman" w:hAnsi="Times New Roman"/>
                <w:color w:val="1F2937"/>
                <w:sz w:val="20"/>
                <w:szCs w:val="20"/>
              </w:rPr>
              <w:t xml:space="preserve">Épisodes mixtes</w:t>
            </w:r>
          </w:p>
        </w:tc>
        <w:tc>
          <w:tcPr>
            <w:shd w:fill="EEF2F7" w:color="EEF2F7" w:val="solid"/>
          </w:tcPr>
          <w:p>
            <w:r>
              <w:rPr>
                <w:rFonts w:ascii="Times New Roman" w:cs="Times New Roman" w:eastAsia="Times New Roman" w:hAnsi="Times New Roman"/>
                <w:color w:val="1F2937"/>
                <w:sz w:val="20"/>
                <w:szCs w:val="20"/>
              </w:rPr>
              <w:t xml:space="preserve">Spécificateur (TB-I et II)</w:t>
            </w:r>
          </w:p>
        </w:tc>
        <w:tc>
          <w:tcPr>
            <w:shd w:fill="EEF2F7" w:color="EEF2F7" w:val="solid"/>
          </w:tcPr>
          <w:p>
            <w:r>
              <w:rPr>
                <w:rFonts w:ascii="Times New Roman" w:cs="Times New Roman" w:eastAsia="Times New Roman" w:hAnsi="Times New Roman"/>
                <w:color w:val="1F2937"/>
                <w:sz w:val="20"/>
                <w:szCs w:val="20"/>
              </w:rPr>
              <w:t xml:space="preserve">Catégorie propre (plus explicite)</w:t>
            </w:r>
          </w:p>
        </w:tc>
      </w:tr>
      <w:tr>
        <w:tc>
          <w:p>
            <w:r>
              <w:rPr>
                <w:rFonts w:ascii="Times New Roman" w:cs="Times New Roman" w:eastAsia="Times New Roman" w:hAnsi="Times New Roman"/>
                <w:color w:val="1F2937"/>
                <w:sz w:val="20"/>
                <w:szCs w:val="20"/>
              </w:rPr>
              <w:t xml:space="preserve">Cyclothymie</w:t>
            </w:r>
          </w:p>
        </w:tc>
        <w:tc>
          <w:p>
            <w:r>
              <w:rPr>
                <w:rFonts w:ascii="Times New Roman" w:cs="Times New Roman" w:eastAsia="Times New Roman" w:hAnsi="Times New Roman"/>
                <w:color w:val="1F2937"/>
                <w:sz w:val="20"/>
                <w:szCs w:val="20"/>
              </w:rPr>
              <w:t xml:space="preserve">Trouble bipolaire III (non officiel)</w:t>
            </w:r>
          </w:p>
        </w:tc>
        <w:tc>
          <w:p>
            <w:r>
              <w:rPr>
                <w:rFonts w:ascii="Times New Roman" w:cs="Times New Roman" w:eastAsia="Times New Roman" w:hAnsi="Times New Roman"/>
                <w:color w:val="1F2937"/>
                <w:sz w:val="20"/>
                <w:szCs w:val="20"/>
              </w:rPr>
              <w:t xml:space="preserve">Trouble cyclothymique</w:t>
            </w:r>
          </w:p>
        </w:tc>
      </w:tr>
      <w:tr>
        <w:tc>
          <w:tcPr>
            <w:shd w:fill="EEF2F7" w:color="EEF2F7" w:val="solid"/>
          </w:tcPr>
          <w:p>
            <w:r>
              <w:rPr>
                <w:rFonts w:ascii="Times New Roman" w:cs="Times New Roman" w:eastAsia="Times New Roman" w:hAnsi="Times New Roman"/>
                <w:color w:val="1F2937"/>
                <w:sz w:val="20"/>
                <w:szCs w:val="20"/>
              </w:rPr>
              <w:t xml:space="preserve">Usage en France</w:t>
            </w:r>
          </w:p>
        </w:tc>
        <w:tc>
          <w:tcPr>
            <w:shd w:fill="EEF2F7" w:color="EEF2F7" w:val="solid"/>
          </w:tcPr>
          <w:p>
            <w:r>
              <w:rPr>
                <w:rFonts w:ascii="Times New Roman" w:cs="Times New Roman" w:eastAsia="Times New Roman" w:hAnsi="Times New Roman"/>
                <w:color w:val="1F2937"/>
                <w:sz w:val="20"/>
                <w:szCs w:val="20"/>
              </w:rPr>
              <w:t xml:space="preserve">Recherche, essais cliniques</w:t>
            </w:r>
          </w:p>
        </w:tc>
        <w:tc>
          <w:tcPr>
            <w:shd w:fill="EEF2F7" w:color="EEF2F7" w:val="solid"/>
          </w:tcPr>
          <w:p>
            <w:r>
              <w:rPr>
                <w:rFonts w:ascii="Times New Roman" w:cs="Times New Roman" w:eastAsia="Times New Roman" w:hAnsi="Times New Roman"/>
                <w:color w:val="1F2937"/>
                <w:sz w:val="20"/>
                <w:szCs w:val="20"/>
              </w:rPr>
              <w:t xml:space="preserve">Statistiques, ALD, codage PMSI</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noter : la CIM-11 (OMS) définit explicitement les épisodes mixtes comme une catégorie propre, ce qui la distingue du DSM-5-TR où ils n'apparaissent qu'en tant que spécificateurs. En France, le codage médico-administratif (ALD, PMSI) utilise la CIM-11.</w:t>
      </w:r>
    </w:p>
    <w:p>
      <w:pPr>
        <w:pStyle w:val="Heading3"/>
        <w:spacing w:after="80" w:before="200"/>
      </w:pPr>
      <w:r>
        <w:rPr>
          <w:rFonts w:ascii="Times New Roman" w:cs="Times New Roman" w:eastAsia="Times New Roman" w:hAnsi="Times New Roman"/>
          <w:b/>
          <w:bCs/>
          <w:color w:val="1F2937"/>
          <w:sz w:val="26"/>
          <w:szCs w:val="26"/>
        </w:rPr>
        <w:t xml:space="preserve">5. Modèles explicatifs complémentaires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Biologique / neurobiologique : dérégulation des systèmes monoaminergiques (sérotonine, noradrénaline, dopamine) et des rythmes circadiens. Base de l'action des antidépresseurs et thymorégulateurs.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Cognitivo-comportemental (Aaron Beck, modèle cognitif) : la dépression serait entretenue par une « triade cognitive négative » — vision négative de soi, du monde et de l'avenir — et par des schémas de pensées dysfonctionnels. La thérapie cognitive vise à identifier et restructurer ces pensées.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Psychodynamique : la dépression est liée à une perte réelle ou symbolique et à un retournement de l'agressivité contre soi. Freud distinguait deuil (réaction normale) et mélancolie (processus pathologique).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Systémique et contextuel : l'humeur dépressive peut être comprise comme une réponse à un contexte relationnel ou familial spécifique ; le traitement s'adresse alors au système, pas uniquement à l'individu.</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Repère déontologique — </w:t>
      </w:r>
      <w:r>
        <w:rPr>
          <w:rFonts w:ascii="Times New Roman" w:cs="Times New Roman" w:eastAsia="Times New Roman" w:hAnsi="Times New Roman"/>
          <w:color w:val="1F2937"/>
          <w:sz w:val="22"/>
          <w:szCs w:val="22"/>
        </w:rPr>
        <w:t xml:space="preserve">La pose d'un diagnostic de trouble dépressif ou bipolaire est un acte médical réservé aux psychiatres et médecins, et un acte clinique pour les psychologues cliniciens. En tant que professionnel non clinicien, notre rôle est d'OBSERVER, de SIGNALER et d'ORIENTER — pas de diagnostiquer.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Appliquer les critères : réel ou non ?</w:t>
      </w:r>
    </w:p>
    <w:p>
      <w:pPr>
        <w:spacing w:after="60" w:before="60"/>
      </w:pPr>
      <w:r>
        <w:rPr>
          <w:rFonts w:ascii="Times New Roman" w:cs="Times New Roman" w:eastAsia="Times New Roman" w:hAnsi="Times New Roman"/>
          <w:b w:val="false"/>
          <w:bCs w:val="false"/>
          <w:i w:val="false"/>
          <w:iCs w:val="false"/>
          <w:color w:val="1F2937"/>
          <w:sz w:val="22"/>
          <w:szCs w:val="22"/>
        </w:rPr>
        <w:t xml:space="preserve">Lis les 4 vignettes suivantes et détermine pour chacune si les critères d'un EDC sont remplis ou non. Justifie en citant les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Ahmed, 34 ans : depuis 3 semaines, il se sent « à plat », a perdu tout intérêt pour la musique qu'il adorait, dort 11h par nuit, a du mal à se concentrer au travail, et pense souvent que « rien ne vaut vraiment le coup ». Son appétit a diminué (−4 kg). Il ne parle pas d'idées suicidaires. Il arrive quand même à travailler.</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Sophie, 29 ans : elle est triste depuis 10 jours après une rupture amoureuse. Elle pleure le soir mais arrive à rire avec ses amis. Elle mange moins mais dort normalement. Elle anticipe un mieux dès que la « peine passera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Marc, 52 ans : depuis 1 mois, il ne sort plus du lit avant midi. Il dit ne rien ressentir (« vide total »), a perdu 6 kg, présente une agitation visible (se lève, tourne dans la pièce), et confie penser à sa propre mort sans plan précis. Il a démissionné de son emploi.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Léa, 41 ans : humeur irritable depuis 5 jours, se sent « super bien en fait », a dormi 3h cette nuit et se dit reposée, a commandé pour 2 000 € de matériel en ligne, parle très vite et enchaîne des projets.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 Pour chaque vignette : EDC oui/non ? Critères remplis ou manquants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EDC probablement rempli : humeur dépressive + anédonie (2 critères pivots), + fatigue/manque d'énergie + trouble concentration + pensées négatives récurrentes + perte de poids/appétit = au moins 6/9 critères sur 3 semaines (&gt; 2 semaines). Le maintien du travail n'exclut pas l'EDC si le retentissement est cliniquement significatif.</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EDC non rempli : durée insuffisante (10 jours &lt; 14 jours requis) ; la tristesse est réactionnelle, fluctuante et préservée par le contexte social ; symptômes sub-syndromiques (2-3 critères au plus). Il s'agit d'une réaction de deuil/tristesse normale.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EDC sévère probable : humeur dépressive (vide), anédonie + anorexie significative, hypersomnie initiale devenue insomnie/agitation, agitation psychomotrice observable, pensées de mort, retentissement fonctionnel majeur (démission) = ≥ 7/9 critères sur 1 mois. Le risque suicidaire doit être évalué.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Épisode maniaque ou hypomaniaque probable, PAS un EDC : humeur élevée/irritable, diminution du besoin de sommeil, discours accéléré, comportements impulsifs, projets en rafale. La durée (5 jours) et le non-retentissement apparent orientent vers l'hypomanie. À surveiller : si cela dure ≥ 7 jours ou entraîne une hospitalisation → manie franche.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2 — Distinguer dépression unipolaire et bipolaire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Voici 6 éléments cliniques. Pour chacun, indique s'il oriente plutôt vers un trouble dépressif unipolaire (TDU), un trouble bipolaire (TB), ou s'il est non discriminant (ND). Justifie brièvement.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Premier épisode dépressif à 18 ans avec antécédents familiaux de TB au premier degré.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Épisode dépressif avec hypersomnie marquée (12h/nuit) et prise de poids.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Réponse antidépressive rapide et spectaculaire suivie 3 semaines plus tard d'une insomnie totale et d'une grande agitation.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Dépression réactionnelle après un licenciement, sans antécédent ni signe atypique.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Plusieurs épisodes dépressifs récurrents séparés par des périodes de fonctionnement normal.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Épisode dépressif avec des idées mystiques (« je dois expier »), départ subit à l'étranger.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 TB : début précoce + histoire familiale sont deux facteurs de risque majeurs de bipolarité.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 TB (atypique) : hypersomnie et hyperphagie sont des marqueurs classiques de la dépression bipolaire (souvent absents dans la dépression unipolaire mélancolique).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 TB fortement suspecté : le « virage maniaque » sous antidépresseur est un signal d'alarme bien documenté de bipolarité latente — l'antidépresseur a pu « découvrir » un trouble bipolaire en déclenchant la phase d'excitation.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 TDU probable : contexte réactionnel clair, absence d'atypicité, pas d'antécédent thymo-cyclique. Reste à surveiller l'évolution.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 ND : la récurrence des EDC existe aussi bien dans la dépression unipolaire récurrente que dans le trouble bipolaire entre les épisodes maniaques. Nécessite une anamnèse soigneuse sur d'éventuels épisodes d'hypomanie passés inaperçus.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 TB suspecté : la coloration mystique/grandiose et le comportement impulsif et déstructuré peuvent signer un épisode mixte ou une dépression bipolaire sévère avec éléments psychotiques. À distinguer d'un trouble psychotique.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3 — Réflexion personnelle : mon expérience de l'humeur</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vise à ancrer la connaissance dans l'expérience subjective — levier puissant d'apprentissage et de future empathie clinique.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Réponds par écrit aux 4 questions suivantes (réponses pour toi seul, non à remettre)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Pense à un moment de ta vie où tu as vécu une baisse d'humeur marquée (non pathologique). Quels étaient les 2-3 critères de l'EDC que tu aurais pu cocher à ce moment-là ? Lesquels étaient absents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Qu'est-ce qui t'a « sorti » de cet état ? Quelle signification donnes-tu à cette sortie au regard des modèles explicatifs vus dans la leçon (biologique, cognitif, psychodynamique)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Si tu avais à expliquer la différence entre « être triste » et « faire une dépression » à quelqu'un de ton entourage, quelles 3 formulations utiliseras-tu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En lisant les vignettes de l'exercice 1, quelle a été ta réaction instinctive face à la vignette C (Marc, 52 ans) ? Qu'est-ce que cela te dit sur ta propre lecture de la souffrance psychique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Note : il n'y a pas de « bonne » réponse. L'objectif est de prendre conscience de ton propre cadre de référence — ce que la littérature appelle la « résonance contre-transférentielle » — pour développer une posture professionnelle informée et non stigmatisante.</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de synthèse</w:t>
      </w:r>
    </w:p>
    <w:p>
      <w:pPr>
        <w:spacing w:after="60" w:before="60"/>
      </w:pPr>
      <w:r>
        <w:rPr>
          <w:rFonts w:ascii="Times New Roman" w:cs="Times New Roman" w:eastAsia="Times New Roman" w:hAnsi="Times New Roman"/>
          <w:b w:val="false"/>
          <w:bCs w:val="false"/>
          <w:i w:val="false"/>
          <w:iCs w:val="false"/>
          <w:color w:val="1F2937"/>
          <w:sz w:val="22"/>
          <w:szCs w:val="22"/>
        </w:rPr>
        <w:t xml:space="preserve">Mme A., 47 ans, est accompagnée dans un foyer de vie depuis 5 ans. Les équipes signalent depuis 3 semaines : retrait social progressif, refus de participer aux activités collectives habituelles, sommeil perturbé (se lève à 4h du matin), commentaires récurrents de type « je suis inutile », irritabilité inhabituelle lors des repas.</w:t>
      </w:r>
    </w:p>
    <w:p>
      <w:pPr>
        <w:spacing w:after="60" w:before="60"/>
      </w:pPr>
      <w:r>
        <w:rPr>
          <w:rFonts w:ascii="Times New Roman" w:cs="Times New Roman" w:eastAsia="Times New Roman" w:hAnsi="Times New Roman"/>
          <w:b w:val="false"/>
          <w:bCs w:val="false"/>
          <w:i w:val="false"/>
          <w:iCs w:val="false"/>
          <w:color w:val="1F2937"/>
          <w:sz w:val="22"/>
          <w:szCs w:val="22"/>
        </w:rPr>
        <w:t xml:space="preserve">Son dossier médical indique deux hospitalisations en psychiatrie à 32 et 38 ans (motifs non précisés dans le dossier éducatif). Elle prend du lithium au long cours.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Quels signes cliniques observés par l'équipe éducative sont cohérents avec un épisode dépressif caractérisé ? Lesquels méritent une vigilance particulière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La prescription de lithium et les deux hospitalisations passées orientent vers quel diagnostic probable ? Qu'est-ce que cela change dans la lecture de la situation actuelle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Quel est le rôle approprié de l'équipe éducative et du chef de service dans ce contexte ? Quelles actions sont à initier, dans quel ordre, et vers qui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En quoi la RBPP HAS sur les « Comportements-problèmes » et la posture de bientraitance guident-elles la réponse de l'équipe face à l'irritabilité de Mme A.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Signes cohérents avec un EDC : retrait social, anédonie (refus des activités), insomnie (réveil précoce à 4h — signe classique de dépression mélancolique), propos dévalorisants (critère 7 du DSM-5), irritabilité (équivalent dépressif fréquent chez l'adulte avec handicap psychique). Vigilance particulière : les propos « je suis inutile » peuvent préfigurer des idées suicidaires implicites — à explorer avec prudence et à transmettre au psychiatre référent.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Le lithium est un thymorégulateur de première ligne prescrit spécifiquement dans les troubles bipolaires (type I ou II). Les deux hospitalisations passées renforcent cette hypothèse. La lecture change radicalement : cette dépression est probablement bipolaire — ce qui contre-indique formellement de prescrire un antidépresseur seul (risque de virage maniaque), et oriente vers un ajustement du lithium ou l'ajout d'un autre thymorégulateur, décision médicale exclusive.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Rôle de l'équipe éducative : observation précise et tracée (transmissions, cahier de bord) ; ne pas minimiser les signes ni « expliquer » l'état par un événement de vie ; maintenir un cadre sécurisant et prévisible. Rôle du chef de service : informer le psychiatre référent SANS DÉLAI, contacter la famille si accord de la personne, adapter temporairement les activités à l'état de Mme A. (sans l'isoler). Ne pas attendre que « ça passe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La RBPP HAS sur les troubles du comportement (comportements-problèmes) rappelle que l'irritabilité n'est pas un « comportement à gérer » mais un SIGNAL à comprendre. L'approche fonctionnelle invite à chercher la CAUSE (ici, très probablement un épisode dépressif) plutôt qu'à répondre par des règles ou des sanctions. La bientraitance implique de respecter la dignité de Mme A. même dans ses moments de retrait, et de ne pas confondre ses symptômes avec de la « mauvaise volonté ».</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professionnel (chef de service en ESSMS)</w:t>
      </w:r>
    </w:p>
    <w:p>
      <w:pPr>
        <w:spacing w:after="60" w:before="60"/>
      </w:pPr>
      <w:r>
        <w:rPr>
          <w:rFonts w:ascii="Times New Roman" w:cs="Times New Roman" w:eastAsia="Times New Roman" w:hAnsi="Times New Roman"/>
          <w:b w:val="false"/>
          <w:bCs w:val="false"/>
          <w:i w:val="false"/>
          <w:iCs w:val="false"/>
          <w:color w:val="1F2937"/>
          <w:sz w:val="22"/>
          <w:szCs w:val="22"/>
        </w:rPr>
        <w:t xml:space="preserve">Dans un foyer d'hébergement accueillant des adultes avec handicap mental et psychique, les troubles de l'humeur sont parmi les comorbidités les plus fréquentes — et les plus sous-repérées. L'équipe éducative est en première ligne d'observation, mais elle n'a pas de formation clinique systématique.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Deux leviers concrets pour le chef de service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Former les équipes à un lexique sémiologique minimal (les 9 critères de l'EDC reformulés en termes observables) pour améliorer la qualité des transmissions aux psychiatres.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Structurer un protocole de signalement interne qui permet de réagir rapidement à une dégradation thymique, en lien avec l'IDH/DUI (Imago) et le psychiatre référent — sans pathologiser chaque variation d'humeur.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pour approfondir</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références suivantes ont été consultées et vérifiées pendant cette séance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hyperlink w:history="1" r:id="rIdrftcqbogi9x02kfwu0jvy">
        <w:r>
          <w:rPr>
            <w:rFonts w:ascii="Times New Roman" w:cs="Times New Roman" w:eastAsia="Times New Roman" w:hAnsi="Times New Roman"/>
            <w:color w:val="1155CC"/>
            <w:sz w:val="22"/>
            <w:szCs w:val="22"/>
            <w:u w:val="single"/>
          </w:rPr>
          <w:t xml:space="preserve">Psycom — Troubles dépressifs (définition, symptômes, traitement)</w:t>
        </w:r>
      </w:hyperlink>
    </w:p>
    <w:p>
      <w:pPr>
        <w:spacing w:after="60" w:before="60"/>
      </w:pPr>
      <w:hyperlink w:history="1" r:id="rIdxki1pkyerkffyfboq-pzn">
        <w:r>
          <w:rPr>
            <w:rFonts w:ascii="Times New Roman" w:cs="Times New Roman" w:eastAsia="Times New Roman" w:hAnsi="Times New Roman"/>
            <w:color w:val="1155CC"/>
            <w:sz w:val="22"/>
            <w:szCs w:val="22"/>
            <w:u w:val="single"/>
          </w:rPr>
          <w:t xml:space="preserve">Psycom — Troubles bipolaires (phases, types, traitements)</w:t>
        </w:r>
      </w:hyperlink>
    </w:p>
    <w:p>
      <w:pPr>
        <w:spacing w:after="60" w:before="60"/>
      </w:pPr>
      <w:hyperlink w:history="1" r:id="rIdnrbqxbcltkwhsnv6a4sn6">
        <w:r>
          <w:rPr>
            <w:rFonts w:ascii="Times New Roman" w:cs="Times New Roman" w:eastAsia="Times New Roman" w:hAnsi="Times New Roman"/>
            <w:color w:val="1155CC"/>
            <w:sz w:val="22"/>
            <w:szCs w:val="22"/>
            <w:u w:val="single"/>
          </w:rPr>
          <w:t xml:space="preserve">Merck Manual Pro — Overview of Mood Disorders (EN)</w:t>
        </w:r>
      </w:hyperlink>
    </w:p>
    <w:p>
      <w:pPr>
        <w:spacing w:after="60" w:before="60"/>
      </w:pPr>
      <w:hyperlink w:history="1" r:id="rIdogfso_5rrhfgnjs3ewun2">
        <w:r>
          <w:rPr>
            <w:rFonts w:ascii="Times New Roman" w:cs="Times New Roman" w:eastAsia="Times New Roman" w:hAnsi="Times New Roman"/>
            <w:color w:val="1155CC"/>
            <w:sz w:val="22"/>
            <w:szCs w:val="22"/>
            <w:u w:val="single"/>
          </w:rPr>
          <w:t xml:space="preserve">Dépression Bipolarité Pratique — Critères DSM-5 de l'épisode dépressif majeur</w:t>
        </w:r>
      </w:hyperlink>
    </w:p>
    <w:p>
      <w:pPr>
        <w:spacing w:after="60" w:before="60"/>
      </w:pPr>
      <w:hyperlink w:history="1" r:id="rIdjrkfqenogbbpipqzsn0wq">
        <w:r>
          <w:rPr>
            <w:rFonts w:ascii="Times New Roman" w:cs="Times New Roman" w:eastAsia="Times New Roman" w:hAnsi="Times New Roman"/>
            <w:color w:val="1155CC"/>
            <w:sz w:val="22"/>
            <w:szCs w:val="22"/>
            <w:u w:val="single"/>
          </w:rPr>
          <w:t xml:space="preserve">HAS — Épisode dépressif caractérisé de l'adulte : prise en charge en premier recours (2017)</w:t>
        </w:r>
      </w:hyperlink>
    </w:p>
    <w:p>
      <w:pPr>
        <w:spacing w:after="60" w:before="60"/>
      </w:pPr>
      <w:hyperlink w:history="1" r:id="rIdxvalrzmbcy8fo_j_soj3i">
        <w:r>
          <w:rPr>
            <w:rFonts w:ascii="Times New Roman" w:cs="Times New Roman" w:eastAsia="Times New Roman" w:hAnsi="Times New Roman"/>
            <w:color w:val="1155CC"/>
            <w:sz w:val="22"/>
            <w:szCs w:val="22"/>
            <w:u w:val="single"/>
          </w:rPr>
          <w:t xml:space="preserve">HAS — Page thématique Dépression</w:t>
        </w:r>
      </w:hyperlink>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Sources inaccessibles lors de cette session : ⛔ Cairn.info (403 Forbidden) — consulter directement sur le site avec un accès institutionnel.</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 — n°07</w:t>
      </w:r>
    </w:p>
    <w:p>
      <w:pPr>
        <w:spacing w:after="60" w:before="60"/>
      </w:pPr>
      <w:r>
        <w:rPr>
          <w:rFonts w:ascii="Times New Roman" w:cs="Times New Roman" w:eastAsia="Times New Roman" w:hAnsi="Times New Roman"/>
          <w:b w:val="false"/>
          <w:bCs w:val="false"/>
          <w:i w:val="false"/>
          <w:iCs w:val="false"/>
          <w:color w:val="1F2937"/>
          <w:sz w:val="22"/>
          <w:szCs w:val="22"/>
        </w:rPr>
        <w:t xml:space="preserve">Thème : Les troubles psychotiques — schizophrénie et troubles apparentés.</w:t>
      </w:r>
    </w:p>
    <w:p>
      <w:pPr>
        <w:spacing w:after="60" w:before="60"/>
      </w:pPr>
      <w:r>
        <w:rPr>
          <w:rFonts w:ascii="Times New Roman" w:cs="Times New Roman" w:eastAsia="Times New Roman" w:hAnsi="Times New Roman"/>
          <w:b w:val="false"/>
          <w:bCs w:val="false"/>
          <w:i w:val="false"/>
          <w:iCs w:val="false"/>
          <w:color w:val="1F2937"/>
          <w:sz w:val="22"/>
          <w:szCs w:val="22"/>
        </w:rPr>
        <w:t xml:space="preserve">Au programme : symptômes positifs (hallucinations, délires) et négatifs (aboulie, retrait) ; désorganisation ; critères CIM-11/DSM-5-TR ; modèles explicatifs (vulnérabilité-stress) ; réhabilitation psychosociale. Pont pro : accompagnement en foyer d'hébergement, prévention des crises, lien avec la RBPP HAS sur les comportements-problèmes.</w:t>
      </w:r>
    </w:p>
    <w:p>
      <w:pPr>
        <w:spacing w:after="100" w:before="100"/>
      </w:pPr>
      <w:r>
        <w:rPr>
          <w:color w:val="AAAAAA"/>
          <w:sz w:val="18"/>
          <w:szCs w:val="18"/>
        </w:rPr>
        <w:t xml:space="preserve">─────────────────────────────────────────────────────</w:t>
      </w:r>
    </w:p>
    <w:p>
      <w:pPr>
        <w:spacing w:after="0" w:before="200"/>
        <w:jc w:val="center"/>
      </w:pPr>
      <w:r>
        <w:rPr>
          <w:rFonts w:ascii="Times New Roman" w:cs="Times New Roman" w:eastAsia="Times New Roman" w:hAnsi="Times New Roman"/>
          <w:i/>
          <w:iCs/>
          <w:color w:val="999999"/>
          <w:sz w:val="18"/>
          <w:szCs w:val="18"/>
        </w:rPr>
        <w:t xml:space="preserve">Parcours Psychopathologie clinique · Leçon 06/20 · 20 juillet 2026 · Usage personnel et professionnel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tcqbogi9x02kfwu0jvy" Type="http://schemas.openxmlformats.org/officeDocument/2006/relationships/hyperlink" Target="https://www.psycom.org/sinformer/la-sante-mentale/les-troubles-psy/troubles-depressifs/" TargetMode="External"/><Relationship Id="rIdxki1pkyerkffyfboq-pzn" Type="http://schemas.openxmlformats.org/officeDocument/2006/relationships/hyperlink" Target="https://www.psycom.org/sinformer/la-sante-mentale/les-troubles-psy/troubles-bipolaires/" TargetMode="External"/><Relationship Id="rIdnrbqxbcltkwhsnv6a4sn6" Type="http://schemas.openxmlformats.org/officeDocument/2006/relationships/hyperlink" Target="https://www.merckmanuals.com/professional/psychiatric-disorders/mood-disorders/overview-of-mood-disorders" TargetMode="External"/><Relationship Id="rIdogfso_5rrhfgnjs3ewun2" Type="http://schemas.openxmlformats.org/officeDocument/2006/relationships/hyperlink" Target="https://www.depression-bipolarite-pratique.com/criteres-dsm-5-depisode-depressif-majeur/" TargetMode="External"/><Relationship Id="rIdjrkfqenogbbpipqzsn0wq" Type="http://schemas.openxmlformats.org/officeDocument/2006/relationships/hyperlink" Target="https://www.has-sante.fr/jcms/c_1739917/fr/episode-depressif-caracterise-de-l-adulte-prise-en-charge-en-premier-recours" TargetMode="External"/><Relationship Id="rIdxvalrzmbcy8fo_j_soj3i" Type="http://schemas.openxmlformats.org/officeDocument/2006/relationships/hyperlink" Target="https://www.has-sante.fr/jcms/p_3261767/fr/depressio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2026-07-20T06:07:24.813Z</dcterms:created>
  <dcterms:modified xsi:type="dcterms:W3CDTF">2026-07-20T06:07:24.940Z</dcterms:modified>
</cp:coreProperties>
</file>

<file path=docProps/custom.xml><?xml version="1.0" encoding="utf-8"?>
<Properties xmlns="http://schemas.openxmlformats.org/officeDocument/2006/custom-properties" xmlns:vt="http://schemas.openxmlformats.org/officeDocument/2006/docPropsVTypes"/>
</file>