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B3A6B"/>
          <w:sz w:val="52"/>
          <w:szCs w:val="52"/>
        </w:rPr>
        <w:t xml:space="preserve">Leçon Ennéagramme n°20 — BILAN</w:t>
      </w:r>
    </w:p>
    <w:p>
      <w:pPr>
        <w:spacing w:after="120"/>
        <w:jc w:val="center"/>
      </w:pPr>
      <w:r>
        <w:rPr>
          <w:rFonts w:ascii="Times New Roman" w:cs="Times New Roman" w:eastAsia="Times New Roman" w:hAnsi="Times New Roman"/>
          <w:b/>
          <w:bCs/>
          <w:color w:val="1B3A6B"/>
          <w:sz w:val="36"/>
          <w:szCs w:val="36"/>
        </w:rPr>
        <w:t xml:space="preserve">L'ennéagramme comme chemin de connaissance de soi : apports réels et garde-fous</w:t>
      </w:r>
    </w:p>
    <w:p>
      <w:pPr>
        <w:spacing w:after="360"/>
        <w:jc w:val="center"/>
      </w:pPr>
      <w:r>
        <w:rPr>
          <w:rFonts w:ascii="Times New Roman" w:cs="Times New Roman" w:eastAsia="Times New Roman" w:hAnsi="Times New Roman"/>
          <w:i/>
          <w:iCs/>
          <w:color w:val="1F2937"/>
          <w:sz w:val="22"/>
          <w:szCs w:val="22"/>
        </w:rPr>
        <w:t xml:space="preserve">14 octobre 2026</w:t>
      </w:r>
      <w:r>
        <w:rPr>
          <w:rFonts w:ascii="Times New Roman" w:cs="Times New Roman" w:eastAsia="Times New Roman" w:hAnsi="Times New Roman"/>
          <w:b/>
          <w:bCs/>
          <w:i/>
          <w:iCs/>
          <w:color w:val="1B3A6B"/>
          <w:sz w:val="22"/>
          <w:szCs w:val="22"/>
        </w:rPr>
        <w:t xml:space="preserve">     •     Leçon 20 / 20 — Fin du parcours</w:t>
      </w:r>
    </w:p>
    <w:p>
      <w:pPr>
        <w:shd w:fill="F3F4F6" w:val="clear"/>
        <w:spacing w:after="100"/>
        <w:ind w:left="720"/>
      </w:pPr>
      <w:r>
        <w:rPr>
          <w:rFonts w:ascii="Times New Roman" w:cs="Times New Roman" w:eastAsia="Times New Roman" w:hAnsi="Times New Roman"/>
          <w:i/>
          <w:iCs/>
          <w:color w:val="1B3A6B"/>
          <w:sz w:val="22"/>
          <w:szCs w:val="22"/>
        </w:rPr>
        <w:t xml:space="preserve">Ce parcours de 20 leçons est terminé. Cette dernière leçon ne présente pas de nouveau thème : elle relit les 19 qui précèdent, les met en relation, signale ce qui n'a pas pu être traité en profondeur, et propose des pistes pour continuer seul. Lis-la comme une fin — parce que c'en est une.</w:t>
      </w:r>
    </w:p>
    <w:p>
      <w:pPr>
        <w:spacing w:after="80"/>
      </w:pPr>
      <w:r>
        <w:t xml:space="preserve"/>
      </w:r>
    </w:p>
    <w:p>
      <w:pPr>
        <w:spacing w:after="120" w:before="32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color w:val="1F2937"/>
          <w:sz w:val="22"/>
          <w:szCs w:val="22"/>
        </w:rPr>
        <w:t xml:space="preserve">À l'issue de ce bilan, je suis capable de : situer chacune des 19 leçons dans l'architecture globale du modèle ; identifier ce que ce parcours m'a apporté concrètement ; nommer les apports réels de l'ennéagramme et ses garde-fous essentiels ; tracer des pistes d'approfondissement autonome.</w:t>
      </w:r>
    </w:p>
    <w:p>
      <w:pPr>
        <w:spacing w:after="100"/>
      </w:pPr>
      <w:r>
        <w:rPr>
          <w:rFonts w:ascii="Times New Roman" w:cs="Times New Roman" w:eastAsia="Times New Roman" w:hAnsi="Times New Roman"/>
          <w:color w:val="1F2937"/>
          <w:sz w:val="22"/>
          <w:szCs w:val="22"/>
        </w:rPr>
        <w:t xml:space="preserve">Continuité : cette leçon ne s'appuie pas sur la précédente — elle les embrasse toutes. Elle présuppose que les 19 thèmes ont été traversés : structure, types, dynamiques, usages et statut épistémique.</w:t>
      </w:r>
    </w:p>
    <w:p>
      <w:pPr>
        <w:spacing w:after="80"/>
      </w:pPr>
      <w:r>
        <w:t xml:space="preserve"/>
      </w:r>
    </w:p>
    <w:p>
      <w:pPr>
        <w:spacing w:after="120" w:before="320"/>
      </w:pPr>
      <w:r>
        <w:rPr>
          <w:rFonts w:ascii="Times New Roman" w:cs="Times New Roman" w:eastAsia="Times New Roman" w:hAnsi="Times New Roman"/>
          <w:b/>
          <w:bCs/>
          <w:color w:val="1B3A6B"/>
          <w:sz w:val="30"/>
          <w:szCs w:val="30"/>
        </w:rPr>
        <w:t xml:space="preserve">🔬 Théorie (20%) — L'architecture du parcours et ce qu'elle enseigne</w:t>
      </w:r>
    </w:p>
    <w:p>
      <w:pPr>
        <w:spacing w:after="80" w:before="240"/>
      </w:pPr>
      <w:r>
        <w:rPr>
          <w:rFonts w:ascii="Times New Roman" w:cs="Times New Roman" w:eastAsia="Times New Roman" w:hAnsi="Times New Roman"/>
          <w:b/>
          <w:bCs/>
          <w:color w:val="1F2937"/>
          <w:sz w:val="26"/>
          <w:szCs w:val="26"/>
        </w:rPr>
        <w:t xml:space="preserve">Les quatre blocs du parcours</w:t>
      </w:r>
    </w:p>
    <w:p>
      <w:pPr>
        <w:spacing w:after="100"/>
      </w:pPr>
      <w:r>
        <w:rPr>
          <w:rFonts w:ascii="Times New Roman" w:cs="Times New Roman" w:eastAsia="Times New Roman" w:hAnsi="Times New Roman"/>
          <w:color w:val="1F2937"/>
          <w:sz w:val="22"/>
          <w:szCs w:val="22"/>
        </w:rPr>
        <w:t xml:space="preserve">Vingt semaines de travail peuvent se relire en quatre temps :</w:t>
      </w:r>
    </w:p>
    <w:p>
      <w:pPr>
        <w:spacing w:after="8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B3A6B" w:val="clear"/>
          </w:tcPr>
          <w:p>
            <w:pPr>
              <w:spacing w:after="40" w:before="40"/>
              <w:jc w:val="center"/>
            </w:pPr>
            <w:r>
              <w:rPr>
                <w:rFonts w:ascii="Times New Roman" w:cs="Times New Roman" w:eastAsia="Times New Roman" w:hAnsi="Times New Roman"/>
                <w:b/>
                <w:bCs/>
                <w:color w:val="FFFFFF"/>
                <w:sz w:val="20"/>
                <w:szCs w:val="20"/>
              </w:rPr>
              <w:t xml:space="preserve">Bloc</w:t>
            </w:r>
          </w:p>
        </w:tc>
        <w:tc>
          <w:tcPr>
            <w:shd w:fill="1B3A6B" w:val="clear"/>
          </w:tcPr>
          <w:p>
            <w:pPr>
              <w:spacing w:after="40" w:before="40"/>
              <w:jc w:val="center"/>
            </w:pPr>
            <w:r>
              <w:rPr>
                <w:rFonts w:ascii="Times New Roman" w:cs="Times New Roman" w:eastAsia="Times New Roman" w:hAnsi="Times New Roman"/>
                <w:b/>
                <w:bCs/>
                <w:color w:val="FFFFFF"/>
                <w:sz w:val="20"/>
                <w:szCs w:val="20"/>
              </w:rPr>
              <w:t xml:space="preserve">Leçons</w:t>
            </w:r>
          </w:p>
        </w:tc>
        <w:tc>
          <w:tcPr>
            <w:shd w:fill="1B3A6B" w:val="clear"/>
          </w:tcPr>
          <w:p>
            <w:pPr>
              <w:spacing w:after="40" w:before="40"/>
              <w:jc w:val="center"/>
            </w:pPr>
            <w:r>
              <w:rPr>
                <w:rFonts w:ascii="Times New Roman" w:cs="Times New Roman" w:eastAsia="Times New Roman" w:hAnsi="Times New Roman"/>
                <w:b/>
                <w:bCs/>
                <w:color w:val="FFFFFF"/>
                <w:sz w:val="20"/>
                <w:szCs w:val="20"/>
              </w:rPr>
              <w:t xml:space="preserve">Thèmes couverts</w:t>
            </w:r>
          </w:p>
        </w:tc>
        <w:tc>
          <w:tcPr>
            <w:shd w:fill="1B3A6B" w:val="clear"/>
          </w:tcPr>
          <w:p>
            <w:pPr>
              <w:spacing w:after="40" w:before="40"/>
              <w:jc w:val="center"/>
            </w:pPr>
            <w:r>
              <w:rPr>
                <w:rFonts w:ascii="Times New Roman" w:cs="Times New Roman" w:eastAsia="Times New Roman" w:hAnsi="Times New Roman"/>
                <w:b/>
                <w:bCs/>
                <w:color w:val="FFFFFF"/>
                <w:sz w:val="20"/>
                <w:szCs w:val="20"/>
              </w:rPr>
              <w:t xml:space="preserve">Ce qu'ils apportent</w:t>
            </w:r>
          </w:p>
        </w:tc>
      </w:tr>
      <w:tr>
        <w:tc>
          <w:p>
            <w:pPr>
              <w:spacing w:after="40" w:before="40"/>
            </w:pPr>
            <w:r>
              <w:rPr>
                <w:rFonts w:ascii="Times New Roman" w:cs="Times New Roman" w:eastAsia="Times New Roman" w:hAnsi="Times New Roman"/>
                <w:color w:val="1F2937"/>
                <w:sz w:val="20"/>
                <w:szCs w:val="20"/>
              </w:rPr>
              <w:t xml:space="preserve">1 — Structure</w:t>
            </w:r>
          </w:p>
        </w:tc>
        <w:tc>
          <w:p>
            <w:pPr>
              <w:spacing w:after="40" w:before="40"/>
            </w:pPr>
            <w:r>
              <w:rPr>
                <w:rFonts w:ascii="Times New Roman" w:cs="Times New Roman" w:eastAsia="Times New Roman" w:hAnsi="Times New Roman"/>
                <w:color w:val="1F2937"/>
                <w:sz w:val="20"/>
                <w:szCs w:val="20"/>
              </w:rPr>
              <w:t xml:space="preserve">L. 2, 3</w:t>
            </w:r>
          </w:p>
        </w:tc>
        <w:tc>
          <w:p>
            <w:pPr>
              <w:spacing w:after="40" w:before="40"/>
            </w:pPr>
            <w:r>
              <w:rPr>
                <w:rFonts w:ascii="Times New Roman" w:cs="Times New Roman" w:eastAsia="Times New Roman" w:hAnsi="Times New Roman"/>
                <w:color w:val="1F2937"/>
                <w:sz w:val="20"/>
                <w:szCs w:val="20"/>
              </w:rPr>
              <w:t xml:space="preserve">Symbole (cercle, hexade, triangle 3-6-9), trois centres d'intelligence (instinctif, émotionnel, mental)</w:t>
            </w:r>
          </w:p>
        </w:tc>
        <w:tc>
          <w:p>
            <w:pPr>
              <w:spacing w:after="40" w:before="40"/>
            </w:pPr>
            <w:r>
              <w:rPr>
                <w:rFonts w:ascii="Times New Roman" w:cs="Times New Roman" w:eastAsia="Times New Roman" w:hAnsi="Times New Roman"/>
                <w:color w:val="1F2937"/>
                <w:sz w:val="20"/>
                <w:szCs w:val="20"/>
              </w:rPr>
              <w:t xml:space="preserve">Le cadre géométrique et psychologique qui organise tout le reste</w:t>
            </w:r>
          </w:p>
        </w:tc>
      </w:tr>
      <w:tr>
        <w:tc>
          <w:tcPr>
            <w:shd w:fill="EEF2F7" w:val="clear"/>
          </w:tcPr>
          <w:p>
            <w:pPr>
              <w:spacing w:after="40" w:before="40"/>
            </w:pPr>
            <w:r>
              <w:rPr>
                <w:rFonts w:ascii="Times New Roman" w:cs="Times New Roman" w:eastAsia="Times New Roman" w:hAnsi="Times New Roman"/>
                <w:color w:val="1F2937"/>
                <w:sz w:val="20"/>
                <w:szCs w:val="20"/>
              </w:rPr>
              <w:t xml:space="preserve">2 — Les neuf types</w:t>
            </w:r>
          </w:p>
        </w:tc>
        <w:tc>
          <w:tcPr>
            <w:shd w:fill="EEF2F7" w:val="clear"/>
          </w:tcPr>
          <w:p>
            <w:pPr>
              <w:spacing w:after="40" w:before="40"/>
            </w:pPr>
            <w:r>
              <w:rPr>
                <w:rFonts w:ascii="Times New Roman" w:cs="Times New Roman" w:eastAsia="Times New Roman" w:hAnsi="Times New Roman"/>
                <w:color w:val="1F2937"/>
                <w:sz w:val="20"/>
                <w:szCs w:val="20"/>
              </w:rPr>
              <w:t xml:space="preserve">L. 1, 4–11</w:t>
            </w:r>
          </w:p>
        </w:tc>
        <w:tc>
          <w:tcPr>
            <w:shd w:fill="EEF2F7" w:val="clear"/>
          </w:tcPr>
          <w:p>
            <w:pPr>
              <w:spacing w:after="40" w:before="40"/>
            </w:pPr>
            <w:r>
              <w:rPr>
                <w:rFonts w:ascii="Times New Roman" w:cs="Times New Roman" w:eastAsia="Times New Roman" w:hAnsi="Times New Roman"/>
                <w:color w:val="1F2937"/>
                <w:sz w:val="20"/>
                <w:szCs w:val="20"/>
              </w:rPr>
              <w:t xml:space="preserve">Les neuf types : passion dominante, mécanismes de défense, fonctionnement sous stress et sous sécurité (Types 1 à 9)</w:t>
            </w:r>
          </w:p>
        </w:tc>
        <w:tc>
          <w:tcPr>
            <w:shd w:fill="EEF2F7" w:val="clear"/>
          </w:tcPr>
          <w:p>
            <w:pPr>
              <w:spacing w:after="40" w:before="40"/>
            </w:pPr>
            <w:r>
              <w:rPr>
                <w:rFonts w:ascii="Times New Roman" w:cs="Times New Roman" w:eastAsia="Times New Roman" w:hAnsi="Times New Roman"/>
                <w:color w:val="1F2937"/>
                <w:sz w:val="20"/>
                <w:szCs w:val="20"/>
              </w:rPr>
              <w:t xml:space="preserve">La grammaire de base : savoir lire un type — le sien et celui des autres</w:t>
            </w:r>
          </w:p>
        </w:tc>
      </w:tr>
      <w:tr>
        <w:tc>
          <w:p>
            <w:pPr>
              <w:spacing w:after="40" w:before="40"/>
            </w:pPr>
            <w:r>
              <w:rPr>
                <w:rFonts w:ascii="Times New Roman" w:cs="Times New Roman" w:eastAsia="Times New Roman" w:hAnsi="Times New Roman"/>
                <w:color w:val="1F2937"/>
                <w:sz w:val="20"/>
                <w:szCs w:val="20"/>
              </w:rPr>
              <w:t xml:space="preserve">3 — Les dynamiques</w:t>
            </w:r>
          </w:p>
        </w:tc>
        <w:tc>
          <w:p>
            <w:pPr>
              <w:spacing w:after="40" w:before="40"/>
            </w:pPr>
            <w:r>
              <w:rPr>
                <w:rFonts w:ascii="Times New Roman" w:cs="Times New Roman" w:eastAsia="Times New Roman" w:hAnsi="Times New Roman"/>
                <w:color w:val="1F2937"/>
                <w:sz w:val="20"/>
                <w:szCs w:val="20"/>
              </w:rPr>
              <w:t xml:space="preserve">L. 12–16</w:t>
            </w:r>
          </w:p>
        </w:tc>
        <w:tc>
          <w:p>
            <w:pPr>
              <w:spacing w:after="40" w:before="40"/>
            </w:pPr>
            <w:r>
              <w:rPr>
                <w:rFonts w:ascii="Times New Roman" w:cs="Times New Roman" w:eastAsia="Times New Roman" w:hAnsi="Times New Roman"/>
                <w:color w:val="1F2937"/>
                <w:sz w:val="20"/>
                <w:szCs w:val="20"/>
              </w:rPr>
              <w:t xml:space="preserve">Ailes, flèches d'intégration/désintégration, niveaux de développement Riso-Hudson, instincts et 27 sous-types, triades hornéviennes et harmoniques</w:t>
            </w:r>
          </w:p>
        </w:tc>
        <w:tc>
          <w:p>
            <w:pPr>
              <w:spacing w:after="40" w:before="40"/>
            </w:pPr>
            <w:r>
              <w:rPr>
                <w:rFonts w:ascii="Times New Roman" w:cs="Times New Roman" w:eastAsia="Times New Roman" w:hAnsi="Times New Roman"/>
                <w:color w:val="1F2937"/>
                <w:sz w:val="20"/>
                <w:szCs w:val="20"/>
              </w:rPr>
              <w:t xml:space="preserve">Le type n'est pas un point fixe : il est traversé par des mouvements, des nuances et des niveaux d'expression</w:t>
            </w:r>
          </w:p>
        </w:tc>
      </w:tr>
      <w:tr>
        <w:tc>
          <w:tcPr>
            <w:shd w:fill="EEF2F7" w:val="clear"/>
          </w:tcPr>
          <w:p>
            <w:pPr>
              <w:spacing w:after="40" w:before="40"/>
            </w:pPr>
            <w:r>
              <w:rPr>
                <w:rFonts w:ascii="Times New Roman" w:cs="Times New Roman" w:eastAsia="Times New Roman" w:hAnsi="Times New Roman"/>
                <w:color w:val="1F2937"/>
                <w:sz w:val="20"/>
                <w:szCs w:val="20"/>
              </w:rPr>
              <w:t xml:space="preserve">4 — Usages &amp; réflexivité</w:t>
            </w:r>
          </w:p>
        </w:tc>
        <w:tc>
          <w:tcPr>
            <w:shd w:fill="EEF2F7" w:val="clear"/>
          </w:tcPr>
          <w:p>
            <w:pPr>
              <w:spacing w:after="40" w:before="40"/>
            </w:pPr>
            <w:r>
              <w:rPr>
                <w:rFonts w:ascii="Times New Roman" w:cs="Times New Roman" w:eastAsia="Times New Roman" w:hAnsi="Times New Roman"/>
                <w:color w:val="1F2937"/>
                <w:sz w:val="20"/>
                <w:szCs w:val="20"/>
              </w:rPr>
              <w:t xml:space="preserve">L. 17–19</w:t>
            </w:r>
          </w:p>
        </w:tc>
        <w:tc>
          <w:tcPr>
            <w:shd w:fill="EEF2F7" w:val="clear"/>
          </w:tcPr>
          <w:p>
            <w:pPr>
              <w:spacing w:after="40" w:before="40"/>
            </w:pPr>
            <w:r>
              <w:rPr>
                <w:rFonts w:ascii="Times New Roman" w:cs="Times New Roman" w:eastAsia="Times New Roman" w:hAnsi="Times New Roman"/>
                <w:color w:val="1F2937"/>
                <w:sz w:val="20"/>
                <w:szCs w:val="20"/>
              </w:rPr>
              <w:t xml:space="preserve">Relations (couple, famille, conflits), contexte professionnel (usages et dérives), statut épistémique du modèle</w:t>
            </w:r>
          </w:p>
        </w:tc>
        <w:tc>
          <w:tcPr>
            <w:shd w:fill="EEF2F7" w:val="clear"/>
          </w:tcPr>
          <w:p>
            <w:pPr>
              <w:spacing w:after="40" w:before="40"/>
            </w:pPr>
            <w:r>
              <w:rPr>
                <w:rFonts w:ascii="Times New Roman" w:cs="Times New Roman" w:eastAsia="Times New Roman" w:hAnsi="Times New Roman"/>
                <w:color w:val="1F2937"/>
                <w:sz w:val="20"/>
                <w:szCs w:val="20"/>
              </w:rPr>
              <w:t xml:space="preserve">À quoi l'ennéagramme peut — et ne peut pas — servir</w:t>
            </w:r>
          </w:p>
        </w:tc>
      </w:tr>
    </w:tbl>
    <w:p>
      <w:pPr>
        <w:spacing w:after="80"/>
      </w:pPr>
      <w:r>
        <w:t xml:space="preserve"/>
      </w:r>
    </w:p>
    <w:p>
      <w:pPr>
        <w:spacing w:after="80" w:before="240"/>
      </w:pPr>
      <w:r>
        <w:rPr>
          <w:rFonts w:ascii="Times New Roman" w:cs="Times New Roman" w:eastAsia="Times New Roman" w:hAnsi="Times New Roman"/>
          <w:b/>
          <w:bCs/>
          <w:color w:val="1F2937"/>
          <w:sz w:val="26"/>
          <w:szCs w:val="26"/>
        </w:rPr>
        <w:t xml:space="preserve">Ce que le modèle fait bien</w:t>
      </w:r>
    </w:p>
    <w:p>
      <w:pPr>
        <w:spacing w:after="100"/>
      </w:pPr>
      <w:r>
        <w:rPr>
          <w:rFonts w:ascii="Times New Roman" w:cs="Times New Roman" w:eastAsia="Times New Roman" w:hAnsi="Times New Roman"/>
          <w:color w:val="1F2937"/>
          <w:sz w:val="22"/>
          <w:szCs w:val="22"/>
        </w:rPr>
        <w:t xml:space="preserve">L'Institut Français de l'Ennéagramme (enneagramme.com) identifie six apports structurants du modèle :</w:t>
      </w:r>
    </w:p>
    <w:p>
      <w:pPr>
        <w:pStyle w:val="ListParagraph"/>
        <w:numPr>
          <w:ilvl w:val="0"/>
          <w:numId w:val="1"/>
        </w:numPr>
        <w:spacing w:after="60"/>
      </w:pPr>
      <w:r>
        <w:rPr>
          <w:rFonts w:ascii="Times New Roman" w:cs="Times New Roman" w:eastAsia="Times New Roman" w:hAnsi="Times New Roman"/>
          <w:color w:val="1F2937"/>
          <w:sz w:val="22"/>
          <w:szCs w:val="22"/>
        </w:rPr>
        <w:t xml:space="preserve">Connaissance de soi : identifier ses motivations inconscientes et les schémas qui organisent sa perception, ses émotions et ses comportements.</w:t>
      </w:r>
    </w:p>
    <w:p>
      <w:pPr>
        <w:pStyle w:val="ListParagraph"/>
        <w:numPr>
          <w:ilvl w:val="0"/>
          <w:numId w:val="1"/>
        </w:numPr>
        <w:spacing w:after="60"/>
      </w:pPr>
      <w:r>
        <w:rPr>
          <w:rFonts w:ascii="Times New Roman" w:cs="Times New Roman" w:eastAsia="Times New Roman" w:hAnsi="Times New Roman"/>
          <w:color w:val="1F2937"/>
          <w:sz w:val="22"/>
          <w:szCs w:val="22"/>
        </w:rPr>
        <w:t xml:space="preserve">Anticipation : prévoir ses propres réactions dans les situations de stress ou de sécurité — et non pas subir ces réactions.</w:t>
      </w:r>
    </w:p>
    <w:p>
      <w:pPr>
        <w:pStyle w:val="ListParagraph"/>
        <w:numPr>
          <w:ilvl w:val="0"/>
          <w:numId w:val="1"/>
        </w:numPr>
        <w:spacing w:after="60"/>
      </w:pPr>
      <w:r>
        <w:rPr>
          <w:rFonts w:ascii="Times New Roman" w:cs="Times New Roman" w:eastAsia="Times New Roman" w:hAnsi="Times New Roman"/>
          <w:color w:val="1F2937"/>
          <w:sz w:val="22"/>
          <w:szCs w:val="22"/>
        </w:rPr>
        <w:t xml:space="preserve">Communication : accéder aux motivations profondes de l'autre, au-delà des comportements visibles, pour une compréhension plus juste.</w:t>
      </w:r>
    </w:p>
    <w:p>
      <w:pPr>
        <w:pStyle w:val="ListParagraph"/>
        <w:numPr>
          <w:ilvl w:val="0"/>
          <w:numId w:val="1"/>
        </w:numPr>
        <w:spacing w:after="60"/>
      </w:pPr>
      <w:r>
        <w:rPr>
          <w:rFonts w:ascii="Times New Roman" w:cs="Times New Roman" w:eastAsia="Times New Roman" w:hAnsi="Times New Roman"/>
          <w:color w:val="1F2937"/>
          <w:sz w:val="22"/>
          <w:szCs w:val="22"/>
        </w:rPr>
        <w:t xml:space="preserve">Acceptation : reconnaître que chaque type porte ses difficultés propres — et que cela vaut aussi pour soi — ouvre l'accueil de la différence.</w:t>
      </w:r>
    </w:p>
    <w:p>
      <w:pPr>
        <w:pStyle w:val="ListParagraph"/>
        <w:numPr>
          <w:ilvl w:val="0"/>
          <w:numId w:val="1"/>
        </w:numPr>
        <w:spacing w:after="60"/>
      </w:pPr>
      <w:r>
        <w:rPr>
          <w:rFonts w:ascii="Times New Roman" w:cs="Times New Roman" w:eastAsia="Times New Roman" w:hAnsi="Times New Roman"/>
          <w:color w:val="1F2937"/>
          <w:sz w:val="22"/>
          <w:szCs w:val="22"/>
        </w:rPr>
        <w:t xml:space="preserve">Évolution : identifier ses angles morts pour élargir délibérément son répertoire de réponses et de postures.</w:t>
      </w:r>
    </w:p>
    <w:p>
      <w:pPr>
        <w:pStyle w:val="ListParagraph"/>
        <w:numPr>
          <w:ilvl w:val="0"/>
          <w:numId w:val="1"/>
        </w:numPr>
        <w:spacing w:after="60"/>
      </w:pPr>
      <w:r>
        <w:rPr>
          <w:rFonts w:ascii="Times New Roman" w:cs="Times New Roman" w:eastAsia="Times New Roman" w:hAnsi="Times New Roman"/>
          <w:color w:val="1F2937"/>
          <w:sz w:val="22"/>
          <w:szCs w:val="22"/>
        </w:rPr>
        <w:t xml:space="preserve">Transformation : déplacer ses patterns d'attention habituels vers de nouvelles façons d'être au monde.</w:t>
      </w:r>
    </w:p>
    <w:p>
      <w:pPr>
        <w:spacing w:after="80"/>
      </w:pPr>
      <w:r>
        <w:t xml:space="preserve"/>
      </w:r>
    </w:p>
    <w:p>
      <w:pPr>
        <w:spacing w:after="100"/>
      </w:pPr>
      <w:r>
        <w:rPr>
          <w:rFonts w:ascii="Times New Roman" w:cs="Times New Roman" w:eastAsia="Times New Roman" w:hAnsi="Times New Roman"/>
          <w:color w:val="1F2937"/>
          <w:sz w:val="22"/>
          <w:szCs w:val="22"/>
        </w:rPr>
        <w:t xml:space="preserve">Le Narrative Enneagram — fondé par Helen Palmer et David Daniels, avec 35 ans d'enseignement et plus de 1 680 praticiens certifiés — ajoute une dimension somatique et relationnelle : le type s'apprend dans le corps et dans le regard de l'autre, pas seulement par la lecture. Truity, qui recense plus de 50 millions de passations de son test, souligne que la valeur du modèle tient moins à sa précision diagnostique qu'à sa capacité à nommer des angles morts — ces points aveugles que l'on ne voit pas précisément parce qu'ils sont les lunettes qu'on ne retire jamais.</w:t>
      </w:r>
    </w:p>
    <w:p>
      <w:pPr>
        <w:spacing w:after="80"/>
      </w:pPr>
      <w:r>
        <w:t xml:space="preserve"/>
      </w:r>
    </w:p>
    <w:p>
      <w:pPr>
        <w:spacing w:after="80" w:before="240"/>
      </w:pPr>
      <w:r>
        <w:rPr>
          <w:rFonts w:ascii="Times New Roman" w:cs="Times New Roman" w:eastAsia="Times New Roman" w:hAnsi="Times New Roman"/>
          <w:b/>
          <w:bCs/>
          <w:color w:val="1F2937"/>
          <w:sz w:val="26"/>
          <w:szCs w:val="26"/>
        </w:rPr>
        <w:t xml:space="preserve">Ce que le modèle ne fait pas — et son statut épistémique</w:t>
      </w:r>
    </w:p>
    <w:p>
      <w:pPr>
        <w:spacing w:after="100"/>
      </w:pPr>
      <w:r>
        <w:rPr>
          <w:rFonts w:ascii="Times New Roman" w:cs="Times New Roman" w:eastAsia="Times New Roman" w:hAnsi="Times New Roman"/>
          <w:color w:val="1F2937"/>
          <w:sz w:val="22"/>
          <w:szCs w:val="22"/>
        </w:rPr>
        <w:t xml:space="preserve">La leçon 19 a établi le cadre : la revue systématique de Hook et al. (Journal of Clinical Psychology, 2021, 77(4), 865-883), portant sur 104 échantillons indépendants, a conclu à des preuves mitigées de fiabilité et de validité, avec moins de neuf facteurs distincts retrouvés dans la plupart des analyses factorielles.</w:t>
      </w:r>
    </w:p>
    <w:p>
      <w:pPr>
        <w:spacing w:after="100"/>
      </w:pPr>
      <w:r>
        <w:rPr>
          <w:rFonts w:ascii="Times New Roman" w:cs="Times New Roman" w:eastAsia="Times New Roman" w:hAnsi="Times New Roman"/>
          <w:color w:val="1F2937"/>
          <w:sz w:val="22"/>
          <w:szCs w:val="22"/>
        </w:rPr>
        <w:t xml:space="preserve">Wikipedia (Enneagram of Personality) signale un résultat supplémentaire qui mérite réflexion : dans une étude, une large majorité des personnes testées étaient capables d'identifier leur type simplement en lisant les descriptions des neuf types, avant même de passer le questionnaire. Ce résultat suggère que le modèle opère davantage par reconnaissance de soi que par mesure objective. C'est à la fois une limite (il ne mesure pas ce qu'il prétend mesurer) et, peut-être, une partie de son utilité réelle : la description résonne parce qu'elle nomme quelque chose de vrai dans l'expérience subjective.</w:t>
      </w:r>
    </w:p>
    <w:p>
      <w:pPr>
        <w:spacing w:after="100"/>
      </w:pPr>
      <w:r>
        <w:rPr>
          <w:rFonts w:ascii="Times New Roman" w:cs="Times New Roman" w:eastAsia="Times New Roman" w:hAnsi="Times New Roman"/>
          <w:color w:val="1F2937"/>
          <w:sz w:val="22"/>
          <w:szCs w:val="22"/>
        </w:rPr>
        <w:t xml:space="preserve">Une étude publiée dans Frontiers in Psychology (Ramos-Vera et al., 2022) a exploré par analyse de réseau les liens entre les types ennéagramme, la personnalité saine et la résilience face au stress psychosocial — un chantier encore ouvert, qui illustre que le modèle continue d'intéresser des chercheurs hors des cercles praticiens.</w:t>
      </w:r>
    </w:p>
    <w:p>
      <w:pPr>
        <w:spacing w:after="100"/>
      </w:pPr>
      <w:r>
        <w:rPr>
          <w:rFonts w:ascii="Times New Roman" w:cs="Times New Roman" w:eastAsia="Times New Roman" w:hAnsi="Times New Roman"/>
          <w:color w:val="1F2937"/>
          <w:sz w:val="22"/>
          <w:szCs w:val="22"/>
        </w:rPr>
        <w:t xml:space="preserve">Integrative9 représente une direction de développement contemporain : en intégrant théorie intégrale, neurosciences et pleine conscience à la structure de base, il illustre à la fois la vitalité du modèle et son hétérogénéité. L'ennéagramme n'est pas un système unifié : c'est une famille de propositions qui partagent un symbole et une grammaire de neuf types.</w:t>
      </w:r>
    </w:p>
    <w:p>
      <w:pPr>
        <w:spacing w:after="80"/>
      </w:pPr>
      <w:r>
        <w:t xml:space="preserve"/>
      </w:r>
    </w:p>
    <w:p>
      <w:pPr>
        <w:spacing w:after="80" w:before="240"/>
      </w:pPr>
      <w:r>
        <w:rPr>
          <w:rFonts w:ascii="Times New Roman" w:cs="Times New Roman" w:eastAsia="Times New Roman" w:hAnsi="Times New Roman"/>
          <w:b/>
          <w:bCs/>
          <w:color w:val="1F2937"/>
          <w:sz w:val="26"/>
          <w:szCs w:val="26"/>
        </w:rPr>
        <w:t xml:space="preserve">La tension constitutive : autorité et intérêt</w:t>
      </w:r>
    </w:p>
    <w:p>
      <w:pPr>
        <w:spacing w:after="100"/>
      </w:pPr>
      <w:r>
        <w:rPr>
          <w:rFonts w:ascii="Times New Roman" w:cs="Times New Roman" w:eastAsia="Times New Roman" w:hAnsi="Times New Roman"/>
          <w:color w:val="1F2937"/>
          <w:sz w:val="22"/>
          <w:szCs w:val="22"/>
        </w:rPr>
        <w:t xml:space="preserve">Le fil rouge de ce parcours peut se formuler ainsi : les sources les plus autorisées sur le modèle — Enneagram Institute pour les descriptions de Riso et Hudson, Narrative Enneagram pour l'approche Palmer-Daniels — sont aussi celles qui ont un intérêt direct à sa diffusion et à son crédit. Cette tension n'invalide pas ce qu'elles décrivent ; elle impose une lecture distincte selon ce qu'on cherche : ce que ces auteurs ont proposé (les instituts sont fiables pour cela), ou ce que le modèle vaut empiriquement (là, seules les sources académiques indépendantes comptent).</w:t>
      </w:r>
    </w:p>
    <w:p>
      <w:pPr>
        <w:shd w:fill="F3F4F6" w:val="clear"/>
        <w:spacing w:after="100"/>
        <w:ind w:left="720"/>
      </w:pPr>
      <w:r>
        <w:rPr>
          <w:rFonts w:ascii="Times New Roman" w:cs="Times New Roman" w:eastAsia="Times New Roman" w:hAnsi="Times New Roman"/>
          <w:i/>
          <w:iCs/>
          <w:color w:val="1B3A6B"/>
          <w:sz w:val="22"/>
          <w:szCs w:val="22"/>
        </w:rPr>
        <w:t xml:space="preserve">La carte n'est pas le territoire. Et les cartographes vendent des voyages.</w:t>
      </w:r>
    </w:p>
    <w:p>
      <w:pPr>
        <w:spacing w:after="80"/>
      </w:pPr>
      <w:r>
        <w:t xml:space="preserve"/>
      </w:r>
    </w:p>
    <w:p>
      <w:pPr>
        <w:spacing w:after="80" w:before="240"/>
      </w:pPr>
      <w:r>
        <w:rPr>
          <w:rFonts w:ascii="Times New Roman" w:cs="Times New Roman" w:eastAsia="Times New Roman" w:hAnsi="Times New Roman"/>
          <w:b/>
          <w:bCs/>
          <w:color w:val="1F2937"/>
          <w:sz w:val="26"/>
          <w:szCs w:val="26"/>
        </w:rPr>
        <w:t xml:space="preserve">Ce que ce parcours n'a pas traité</w:t>
      </w:r>
    </w:p>
    <w:p>
      <w:pPr>
        <w:spacing w:after="100"/>
      </w:pPr>
      <w:r>
        <w:rPr>
          <w:rFonts w:ascii="Times New Roman" w:cs="Times New Roman" w:eastAsia="Times New Roman" w:hAnsi="Times New Roman"/>
          <w:color w:val="1F2937"/>
          <w:sz w:val="22"/>
          <w:szCs w:val="22"/>
        </w:rPr>
        <w:t xml:space="preserve">Quelques angles n'ont pas pu être développés en 20 leçons :</w:t>
      </w:r>
    </w:p>
    <w:p>
      <w:pPr>
        <w:pStyle w:val="ListParagraph"/>
        <w:numPr>
          <w:ilvl w:val="0"/>
          <w:numId w:val="1"/>
        </w:numPr>
        <w:spacing w:after="60"/>
      </w:pPr>
      <w:r>
        <w:rPr>
          <w:rFonts w:ascii="Times New Roman" w:cs="Times New Roman" w:eastAsia="Times New Roman" w:hAnsi="Times New Roman"/>
          <w:color w:val="1F2937"/>
          <w:sz w:val="22"/>
          <w:szCs w:val="22"/>
        </w:rPr>
        <w:t xml:space="preserve">Les sources primaires dans le détail : les écrits d'Oscar Ichazo (Arica Institute) et de Claudio Naranjo ont été évoqués de façon synthétique, pas explorés directement.</w:t>
      </w:r>
    </w:p>
    <w:p>
      <w:pPr>
        <w:pStyle w:val="ListParagraph"/>
        <w:numPr>
          <w:ilvl w:val="0"/>
          <w:numId w:val="1"/>
        </w:numPr>
        <w:spacing w:after="60"/>
      </w:pPr>
      <w:r>
        <w:rPr>
          <w:rFonts w:ascii="Times New Roman" w:cs="Times New Roman" w:eastAsia="Times New Roman" w:hAnsi="Times New Roman"/>
          <w:color w:val="1F2937"/>
          <w:sz w:val="22"/>
          <w:szCs w:val="22"/>
        </w:rPr>
        <w:t xml:space="preserve">L'ennéagramme et les traditions spirituelles (soufisme, christianisme mystique, Gurdjieff) : mentionnés en leçon 2, non approfondis.</w:t>
      </w:r>
    </w:p>
    <w:p>
      <w:pPr>
        <w:pStyle w:val="ListParagraph"/>
        <w:numPr>
          <w:ilvl w:val="0"/>
          <w:numId w:val="1"/>
        </w:numPr>
        <w:spacing w:after="60"/>
      </w:pPr>
      <w:r>
        <w:rPr>
          <w:rFonts w:ascii="Times New Roman" w:cs="Times New Roman" w:eastAsia="Times New Roman" w:hAnsi="Times New Roman"/>
          <w:color w:val="1F2937"/>
          <w:sz w:val="22"/>
          <w:szCs w:val="22"/>
        </w:rPr>
        <w:t xml:space="preserve">Les instruments de mesure comparés : RHETI, iEQ9, tests Truity — leurs qualités psychométriques respectives restent à explorer.</w:t>
      </w:r>
    </w:p>
    <w:p>
      <w:pPr>
        <w:pStyle w:val="ListParagraph"/>
        <w:numPr>
          <w:ilvl w:val="0"/>
          <w:numId w:val="1"/>
        </w:numPr>
        <w:spacing w:after="60"/>
      </w:pPr>
      <w:r>
        <w:rPr>
          <w:rFonts w:ascii="Times New Roman" w:cs="Times New Roman" w:eastAsia="Times New Roman" w:hAnsi="Times New Roman"/>
          <w:color w:val="1F2937"/>
          <w:sz w:val="22"/>
          <w:szCs w:val="22"/>
        </w:rPr>
        <w:t xml:space="preserve">Les applications cliniques : l'utilisation du modèle en psychothérapie constitue un champ de recherche distinct, signalé en leçon 19.</w:t>
      </w:r>
    </w:p>
    <w:p>
      <w:pPr>
        <w:spacing w:after="80"/>
      </w:pPr>
      <w:r>
        <w:t xml:space="preserve"/>
      </w:r>
    </w:p>
    <w:p>
      <w:pPr>
        <w:spacing w:after="120" w:before="320"/>
      </w:pPr>
      <w:r>
        <w:rPr>
          <w:rFonts w:ascii="Times New Roman" w:cs="Times New Roman" w:eastAsia="Times New Roman" w:hAnsi="Times New Roman"/>
          <w:b/>
          <w:bCs/>
          <w:color w:val="1B3A6B"/>
          <w:sz w:val="30"/>
          <w:szCs w:val="30"/>
        </w:rPr>
        <w:t xml:space="preserve">🛠️ Pratique (80%) — Intégration et bilan personnel</w:t>
      </w:r>
    </w:p>
    <w:p>
      <w:pPr>
        <w:spacing w:after="80" w:before="240"/>
      </w:pPr>
      <w:r>
        <w:rPr>
          <w:rFonts w:ascii="Times New Roman" w:cs="Times New Roman" w:eastAsia="Times New Roman" w:hAnsi="Times New Roman"/>
          <w:b/>
          <w:bCs/>
          <w:color w:val="1F2937"/>
          <w:sz w:val="26"/>
          <w:szCs w:val="26"/>
        </w:rPr>
        <w:t xml:space="preserve">Exercice 1 — Cartographie des 19 leçons (compréhension active)</w:t>
      </w:r>
    </w:p>
    <w:p>
      <w:pPr>
        <w:spacing w:after="100"/>
      </w:pPr>
      <w:r>
        <w:rPr>
          <w:rFonts w:ascii="Times New Roman" w:cs="Times New Roman" w:eastAsia="Times New Roman" w:hAnsi="Times New Roman"/>
          <w:color w:val="1F2937"/>
          <w:sz w:val="22"/>
          <w:szCs w:val="22"/>
        </w:rPr>
        <w:t xml:space="preserve">Pour chacun des quatre blocs, note dans le tableau ci-dessous : la leçon qui a le plus résonné avec ton expérience personnelle, une phrase que tu gardes, et une question restée ouverte.</w:t>
      </w:r>
    </w:p>
    <w:p>
      <w:pPr>
        <w:spacing w:after="8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B3A6B" w:val="clear"/>
          </w:tcPr>
          <w:p>
            <w:pPr>
              <w:spacing w:after="40" w:before="40"/>
              <w:jc w:val="center"/>
            </w:pPr>
            <w:r>
              <w:rPr>
                <w:rFonts w:ascii="Times New Roman" w:cs="Times New Roman" w:eastAsia="Times New Roman" w:hAnsi="Times New Roman"/>
                <w:b/>
                <w:bCs/>
                <w:color w:val="FFFFFF"/>
                <w:sz w:val="20"/>
                <w:szCs w:val="20"/>
              </w:rPr>
              <w:t xml:space="preserve">Bloc</w:t>
            </w:r>
          </w:p>
        </w:tc>
        <w:tc>
          <w:tcPr>
            <w:shd w:fill="1B3A6B" w:val="clear"/>
          </w:tcPr>
          <w:p>
            <w:pPr>
              <w:spacing w:after="40" w:before="40"/>
              <w:jc w:val="center"/>
            </w:pPr>
            <w:r>
              <w:rPr>
                <w:rFonts w:ascii="Times New Roman" w:cs="Times New Roman" w:eastAsia="Times New Roman" w:hAnsi="Times New Roman"/>
                <w:b/>
                <w:bCs/>
                <w:color w:val="FFFFFF"/>
                <w:sz w:val="20"/>
                <w:szCs w:val="20"/>
              </w:rPr>
              <w:t xml:space="preserve">Leçon marquante</w:t>
            </w:r>
          </w:p>
        </w:tc>
        <w:tc>
          <w:tcPr>
            <w:shd w:fill="1B3A6B" w:val="clear"/>
          </w:tcPr>
          <w:p>
            <w:pPr>
              <w:spacing w:after="40" w:before="40"/>
              <w:jc w:val="center"/>
            </w:pPr>
            <w:r>
              <w:rPr>
                <w:rFonts w:ascii="Times New Roman" w:cs="Times New Roman" w:eastAsia="Times New Roman" w:hAnsi="Times New Roman"/>
                <w:b/>
                <w:bCs/>
                <w:color w:val="FFFFFF"/>
                <w:sz w:val="20"/>
                <w:szCs w:val="20"/>
              </w:rPr>
              <w:t xml:space="preserve">Ce que je garde (une phrase)</w:t>
            </w:r>
          </w:p>
        </w:tc>
        <w:tc>
          <w:tcPr>
            <w:shd w:fill="1B3A6B" w:val="clear"/>
          </w:tcPr>
          <w:p>
            <w:pPr>
              <w:spacing w:after="40" w:before="40"/>
              <w:jc w:val="center"/>
            </w:pPr>
            <w:r>
              <w:rPr>
                <w:rFonts w:ascii="Times New Roman" w:cs="Times New Roman" w:eastAsia="Times New Roman" w:hAnsi="Times New Roman"/>
                <w:b/>
                <w:bCs/>
                <w:color w:val="FFFFFF"/>
                <w:sz w:val="20"/>
                <w:szCs w:val="20"/>
              </w:rPr>
              <w:t xml:space="preserve">Question restée ouverte</w:t>
            </w:r>
          </w:p>
        </w:tc>
      </w:tr>
      <w:tr>
        <w:tc>
          <w:p>
            <w:pPr>
              <w:spacing w:after="40" w:before="40"/>
            </w:pPr>
            <w:r>
              <w:rPr>
                <w:rFonts w:ascii="Times New Roman" w:cs="Times New Roman" w:eastAsia="Times New Roman" w:hAnsi="Times New Roman"/>
                <w:color w:val="1F2937"/>
                <w:sz w:val="20"/>
                <w:szCs w:val="20"/>
              </w:rPr>
              <w:t xml:space="preserve">Structure (L. 2–3)</w:t>
            </w:r>
          </w:p>
        </w:tc>
        <w:tc>
          <w:p>
            <w:pPr>
              <w:spacing w:after="40" w:before="40"/>
            </w:pPr>
            <w:r>
              <w:rPr>
                <w:rFonts w:ascii="Times New Roman" w:cs="Times New Roman" w:eastAsia="Times New Roman" w:hAnsi="Times New Roman"/>
                <w:color w:val="1F2937"/>
                <w:sz w:val="20"/>
                <w:szCs w:val="20"/>
              </w:rPr>
              <w:t xml:space="preserve">…</w:t>
            </w:r>
          </w:p>
        </w:tc>
        <w:tc>
          <w:p>
            <w:pPr>
              <w:spacing w:after="40" w:before="40"/>
            </w:pPr>
            <w:r>
              <w:rPr>
                <w:rFonts w:ascii="Times New Roman" w:cs="Times New Roman" w:eastAsia="Times New Roman" w:hAnsi="Times New Roman"/>
                <w:color w:val="1F2937"/>
                <w:sz w:val="20"/>
                <w:szCs w:val="20"/>
              </w:rPr>
              <w:t xml:space="preserve">…</w:t>
            </w:r>
          </w:p>
        </w:tc>
        <w:tc>
          <w:p>
            <w:pPr>
              <w:spacing w:after="40" w:before="40"/>
            </w:pPr>
            <w:r>
              <w:rPr>
                <w:rFonts w:ascii="Times New Roman" w:cs="Times New Roman" w:eastAsia="Times New Roman" w:hAnsi="Times New Roman"/>
                <w:color w:val="1F2937"/>
                <w:sz w:val="20"/>
                <w:szCs w:val="20"/>
              </w:rPr>
              <w:t xml:space="preserve">…</w:t>
            </w:r>
          </w:p>
        </w:tc>
      </w:tr>
      <w:tr>
        <w:tc>
          <w:tcPr>
            <w:shd w:fill="EEF2F7" w:val="clear"/>
          </w:tcPr>
          <w:p>
            <w:pPr>
              <w:spacing w:after="40" w:before="40"/>
            </w:pPr>
            <w:r>
              <w:rPr>
                <w:rFonts w:ascii="Times New Roman" w:cs="Times New Roman" w:eastAsia="Times New Roman" w:hAnsi="Times New Roman"/>
                <w:color w:val="1F2937"/>
                <w:sz w:val="20"/>
                <w:szCs w:val="20"/>
              </w:rPr>
              <w:t xml:space="preserve">Les neuf types (L. 1, 4–11)</w:t>
            </w:r>
          </w:p>
        </w:tc>
        <w:tc>
          <w:tcPr>
            <w:shd w:fill="EEF2F7" w:val="clear"/>
          </w:tcPr>
          <w:p>
            <w:pPr>
              <w:spacing w:after="40" w:before="40"/>
            </w:pPr>
            <w:r>
              <w:rPr>
                <w:rFonts w:ascii="Times New Roman" w:cs="Times New Roman" w:eastAsia="Times New Roman" w:hAnsi="Times New Roman"/>
                <w:color w:val="1F2937"/>
                <w:sz w:val="20"/>
                <w:szCs w:val="20"/>
              </w:rPr>
              <w:t xml:space="preserve">…</w:t>
            </w:r>
          </w:p>
        </w:tc>
        <w:tc>
          <w:tcPr>
            <w:shd w:fill="EEF2F7" w:val="clear"/>
          </w:tcPr>
          <w:p>
            <w:pPr>
              <w:spacing w:after="40" w:before="40"/>
            </w:pPr>
            <w:r>
              <w:rPr>
                <w:rFonts w:ascii="Times New Roman" w:cs="Times New Roman" w:eastAsia="Times New Roman" w:hAnsi="Times New Roman"/>
                <w:color w:val="1F2937"/>
                <w:sz w:val="20"/>
                <w:szCs w:val="20"/>
              </w:rPr>
              <w:t xml:space="preserve">…</w:t>
            </w:r>
          </w:p>
        </w:tc>
        <w:tc>
          <w:tcPr>
            <w:shd w:fill="EEF2F7" w:val="clear"/>
          </w:tcPr>
          <w:p>
            <w:pPr>
              <w:spacing w:after="40" w:before="40"/>
            </w:pPr>
            <w:r>
              <w:rPr>
                <w:rFonts w:ascii="Times New Roman" w:cs="Times New Roman" w:eastAsia="Times New Roman" w:hAnsi="Times New Roman"/>
                <w:color w:val="1F2937"/>
                <w:sz w:val="20"/>
                <w:szCs w:val="20"/>
              </w:rPr>
              <w:t xml:space="preserve">…</w:t>
            </w:r>
          </w:p>
        </w:tc>
      </w:tr>
      <w:tr>
        <w:tc>
          <w:p>
            <w:pPr>
              <w:spacing w:after="40" w:before="40"/>
            </w:pPr>
            <w:r>
              <w:rPr>
                <w:rFonts w:ascii="Times New Roman" w:cs="Times New Roman" w:eastAsia="Times New Roman" w:hAnsi="Times New Roman"/>
                <w:color w:val="1F2937"/>
                <w:sz w:val="20"/>
                <w:szCs w:val="20"/>
              </w:rPr>
              <w:t xml:space="preserve">Les dynamiques (L. 12–16)</w:t>
            </w:r>
          </w:p>
        </w:tc>
        <w:tc>
          <w:p>
            <w:pPr>
              <w:spacing w:after="40" w:before="40"/>
            </w:pPr>
            <w:r>
              <w:rPr>
                <w:rFonts w:ascii="Times New Roman" w:cs="Times New Roman" w:eastAsia="Times New Roman" w:hAnsi="Times New Roman"/>
                <w:color w:val="1F2937"/>
                <w:sz w:val="20"/>
                <w:szCs w:val="20"/>
              </w:rPr>
              <w:t xml:space="preserve">…</w:t>
            </w:r>
          </w:p>
        </w:tc>
        <w:tc>
          <w:p>
            <w:pPr>
              <w:spacing w:after="40" w:before="40"/>
            </w:pPr>
            <w:r>
              <w:rPr>
                <w:rFonts w:ascii="Times New Roman" w:cs="Times New Roman" w:eastAsia="Times New Roman" w:hAnsi="Times New Roman"/>
                <w:color w:val="1F2937"/>
                <w:sz w:val="20"/>
                <w:szCs w:val="20"/>
              </w:rPr>
              <w:t xml:space="preserve">…</w:t>
            </w:r>
          </w:p>
        </w:tc>
        <w:tc>
          <w:p>
            <w:pPr>
              <w:spacing w:after="40" w:before="40"/>
            </w:pPr>
            <w:r>
              <w:rPr>
                <w:rFonts w:ascii="Times New Roman" w:cs="Times New Roman" w:eastAsia="Times New Roman" w:hAnsi="Times New Roman"/>
                <w:color w:val="1F2937"/>
                <w:sz w:val="20"/>
                <w:szCs w:val="20"/>
              </w:rPr>
              <w:t xml:space="preserve">…</w:t>
            </w:r>
          </w:p>
        </w:tc>
      </w:tr>
      <w:tr>
        <w:tc>
          <w:tcPr>
            <w:shd w:fill="EEF2F7" w:val="clear"/>
          </w:tcPr>
          <w:p>
            <w:pPr>
              <w:spacing w:after="40" w:before="40"/>
            </w:pPr>
            <w:r>
              <w:rPr>
                <w:rFonts w:ascii="Times New Roman" w:cs="Times New Roman" w:eastAsia="Times New Roman" w:hAnsi="Times New Roman"/>
                <w:color w:val="1F2937"/>
                <w:sz w:val="20"/>
                <w:szCs w:val="20"/>
              </w:rPr>
              <w:t xml:space="preserve">Usages &amp; réflexivité (L. 17–19)</w:t>
            </w:r>
          </w:p>
        </w:tc>
        <w:tc>
          <w:tcPr>
            <w:shd w:fill="EEF2F7" w:val="clear"/>
          </w:tcPr>
          <w:p>
            <w:pPr>
              <w:spacing w:after="40" w:before="40"/>
            </w:pPr>
            <w:r>
              <w:rPr>
                <w:rFonts w:ascii="Times New Roman" w:cs="Times New Roman" w:eastAsia="Times New Roman" w:hAnsi="Times New Roman"/>
                <w:color w:val="1F2937"/>
                <w:sz w:val="20"/>
                <w:szCs w:val="20"/>
              </w:rPr>
              <w:t xml:space="preserve">…</w:t>
            </w:r>
          </w:p>
        </w:tc>
        <w:tc>
          <w:tcPr>
            <w:shd w:fill="EEF2F7" w:val="clear"/>
          </w:tcPr>
          <w:p>
            <w:pPr>
              <w:spacing w:after="40" w:before="40"/>
            </w:pPr>
            <w:r>
              <w:rPr>
                <w:rFonts w:ascii="Times New Roman" w:cs="Times New Roman" w:eastAsia="Times New Roman" w:hAnsi="Times New Roman"/>
                <w:color w:val="1F2937"/>
                <w:sz w:val="20"/>
                <w:szCs w:val="20"/>
              </w:rPr>
              <w:t xml:space="preserve">…</w:t>
            </w:r>
          </w:p>
        </w:tc>
        <w:tc>
          <w:tcPr>
            <w:shd w:fill="EEF2F7" w:val="clear"/>
          </w:tcPr>
          <w:p>
            <w:pPr>
              <w:spacing w:after="40" w:before="40"/>
            </w:pPr>
            <w:r>
              <w:rPr>
                <w:rFonts w:ascii="Times New Roman" w:cs="Times New Roman" w:eastAsia="Times New Roman" w:hAnsi="Times New Roman"/>
                <w:color w:val="1F2937"/>
                <w:sz w:val="20"/>
                <w:szCs w:val="20"/>
              </w:rPr>
              <w:t xml:space="preserve">…</w:t>
            </w:r>
          </w:p>
        </w:tc>
      </w:tr>
    </w:tbl>
    <w:p>
      <w:pPr>
        <w:spacing w:after="80"/>
      </w:pPr>
      <w:r>
        <w:t xml:space="preserve"/>
      </w:r>
    </w:p>
    <w:p>
      <w:pPr>
        <w:spacing w:after="100"/>
      </w:pPr>
      <w:r>
        <w:rPr>
          <w:rFonts w:ascii="Times New Roman" w:cs="Times New Roman" w:eastAsia="Times New Roman" w:hAnsi="Times New Roman"/>
          <w:color w:val="1F2937"/>
          <w:sz w:val="22"/>
          <w:szCs w:val="22"/>
        </w:rPr>
        <w:t xml:space="preserve">Temps recommandé : 20 à 30 minutes. Il n'y a pas de réponse attendue — seulement les tiennes.</w:t>
      </w:r>
    </w:p>
    <w:p>
      <w:pPr>
        <w:spacing w:after="80"/>
      </w:pPr>
      <w:r>
        <w:t xml:space="preserve"/>
      </w:r>
    </w:p>
    <w:p>
      <w:pPr>
        <w:spacing w:after="80" w:before="240"/>
      </w:pPr>
      <w:r>
        <w:rPr>
          <w:rFonts w:ascii="Times New Roman" w:cs="Times New Roman" w:eastAsia="Times New Roman" w:hAnsi="Times New Roman"/>
          <w:b/>
          <w:bCs/>
          <w:color w:val="1F2937"/>
          <w:sz w:val="26"/>
          <w:szCs w:val="26"/>
        </w:rPr>
        <w:t xml:space="preserve">Exercice 2 — Bilan de type (auto-observation)</w:t>
      </w:r>
    </w:p>
    <w:p>
      <w:pPr>
        <w:spacing w:after="100"/>
      </w:pPr>
      <w:r>
        <w:rPr>
          <w:rFonts w:ascii="Times New Roman" w:cs="Times New Roman" w:eastAsia="Times New Roman" w:hAnsi="Times New Roman"/>
          <w:color w:val="1F2937"/>
          <w:sz w:val="22"/>
          <w:szCs w:val="22"/>
        </w:rPr>
        <w:t xml:space="preserve">Reprends la leçon de ton type principal (parmi les leçons 1, 4 à 11) et réponds à ces quatre questions par écrit, sans chercher à être exhaustif :</w:t>
      </w:r>
    </w:p>
    <w:p>
      <w:pPr>
        <w:pStyle w:val="ListParagraph"/>
        <w:numPr>
          <w:ilvl w:val="0"/>
          <w:numId w:val="1"/>
        </w:numPr>
        <w:spacing w:after="60"/>
      </w:pPr>
      <w:r>
        <w:rPr>
          <w:rFonts w:ascii="Times New Roman" w:cs="Times New Roman" w:eastAsia="Times New Roman" w:hAnsi="Times New Roman"/>
          <w:color w:val="1F2937"/>
          <w:sz w:val="22"/>
          <w:szCs w:val="22"/>
        </w:rPr>
        <w:t xml:space="preserve">Mon auto-évaluation de type a-t-elle évolué au cours du parcours ? Dans quel sens ? Suis-je plus certain, plus incertain, ou différemment certain ?</w:t>
      </w:r>
    </w:p>
    <w:p>
      <w:pPr>
        <w:pStyle w:val="ListParagraph"/>
        <w:numPr>
          <w:ilvl w:val="0"/>
          <w:numId w:val="1"/>
        </w:numPr>
        <w:spacing w:after="60"/>
      </w:pPr>
      <w:r>
        <w:rPr>
          <w:rFonts w:ascii="Times New Roman" w:cs="Times New Roman" w:eastAsia="Times New Roman" w:hAnsi="Times New Roman"/>
          <w:color w:val="1F2937"/>
          <w:sz w:val="22"/>
          <w:szCs w:val="22"/>
        </w:rPr>
        <w:t xml:space="preserve">Les ailes (leçon 12) et les flèches (leçon 13) modifient-elles l'image que j'ai de moi-même ? Laquelle résonne le mieux ?</w:t>
      </w:r>
    </w:p>
    <w:p>
      <w:pPr>
        <w:pStyle w:val="ListParagraph"/>
        <w:numPr>
          <w:ilvl w:val="0"/>
          <w:numId w:val="1"/>
        </w:numPr>
        <w:spacing w:after="60"/>
      </w:pPr>
      <w:r>
        <w:rPr>
          <w:rFonts w:ascii="Times New Roman" w:cs="Times New Roman" w:eastAsia="Times New Roman" w:hAnsi="Times New Roman"/>
          <w:color w:val="1F2937"/>
          <w:sz w:val="22"/>
          <w:szCs w:val="22"/>
        </w:rPr>
        <w:t xml:space="preserve">À quel niveau de développement Riso-Hudson (leçon 14) est-ce que je me situe le plus souvent — et dans quels contextes bascule-t-il ?</w:t>
      </w:r>
    </w:p>
    <w:p>
      <w:pPr>
        <w:pStyle w:val="ListParagraph"/>
        <w:numPr>
          <w:ilvl w:val="0"/>
          <w:numId w:val="1"/>
        </w:numPr>
        <w:spacing w:after="60"/>
      </w:pPr>
      <w:r>
        <w:rPr>
          <w:rFonts w:ascii="Times New Roman" w:cs="Times New Roman" w:eastAsia="Times New Roman" w:hAnsi="Times New Roman"/>
          <w:color w:val="1F2937"/>
          <w:sz w:val="22"/>
          <w:szCs w:val="22"/>
        </w:rPr>
        <w:t xml:space="preserve">Quel instinct dominant (leçon 15) reconnaissais-je le mieux dans mon fonctionnement quotidien ?</w:t>
      </w:r>
    </w:p>
    <w:p>
      <w:pPr>
        <w:spacing w:after="80"/>
      </w:pPr>
      <w:r>
        <w:t xml:space="preserve"/>
      </w:r>
    </w:p>
    <w:p>
      <w:pPr>
        <w:spacing w:after="100"/>
      </w:pPr>
      <w:r>
        <w:rPr>
          <w:rFonts w:ascii="Times New Roman" w:cs="Times New Roman" w:eastAsia="Times New Roman" w:hAnsi="Times New Roman"/>
          <w:color w:val="1F2937"/>
          <w:sz w:val="22"/>
          <w:szCs w:val="22"/>
        </w:rPr>
        <w:t xml:space="preserve">Cette mise à plat n'est pas un test à réussir. C'est une occasion de lire sa propre évolution : ce que tu aurais répondu à ces questions à la leçon 1 n'est pas la même chose que ce que tu y réponds aujourd'hui.</w:t>
      </w:r>
    </w:p>
    <w:p>
      <w:pPr>
        <w:spacing w:after="80"/>
      </w:pPr>
      <w:r>
        <w:t xml:space="preserve"/>
      </w:r>
    </w:p>
    <w:p>
      <w:pPr>
        <w:spacing w:after="80" w:before="240"/>
      </w:pPr>
      <w:r>
        <w:rPr>
          <w:rFonts w:ascii="Times New Roman" w:cs="Times New Roman" w:eastAsia="Times New Roman" w:hAnsi="Times New Roman"/>
          <w:b/>
          <w:bCs/>
          <w:color w:val="1F2937"/>
          <w:sz w:val="26"/>
          <w:szCs w:val="26"/>
        </w:rPr>
        <w:t xml:space="preserve">Exercice 3 — Bilan des garde-fous (esprit critique)</w:t>
      </w:r>
    </w:p>
    <w:p>
      <w:pPr>
        <w:spacing w:after="100"/>
      </w:pPr>
      <w:r>
        <w:rPr>
          <w:rFonts w:ascii="Times New Roman" w:cs="Times New Roman" w:eastAsia="Times New Roman" w:hAnsi="Times New Roman"/>
          <w:color w:val="1F2937"/>
          <w:sz w:val="22"/>
          <w:szCs w:val="22"/>
        </w:rPr>
        <w:t xml:space="preserve">Ce parcours a posé plusieurs garde-fous. Teste-les sur toi, honnêtement :</w:t>
      </w:r>
    </w:p>
    <w:p>
      <w:pPr>
        <w:pStyle w:val="ListParagraph"/>
        <w:numPr>
          <w:ilvl w:val="0"/>
          <w:numId w:val="1"/>
        </w:numPr>
        <w:spacing w:after="60"/>
      </w:pPr>
      <w:r>
        <w:rPr>
          <w:rFonts w:ascii="Times New Roman" w:cs="Times New Roman" w:eastAsia="Times New Roman" w:hAnsi="Times New Roman"/>
          <w:color w:val="1F2937"/>
          <w:sz w:val="22"/>
          <w:szCs w:val="22"/>
        </w:rPr>
        <w:t xml:space="preserve">As-tu tendance à utiliser l'ennéagramme pour expliquer le comportement des autres, plutôt que pour te comprendre toi-même ? (risque de réification et de projection)</w:t>
      </w:r>
    </w:p>
    <w:p>
      <w:pPr>
        <w:pStyle w:val="ListParagraph"/>
        <w:numPr>
          <w:ilvl w:val="0"/>
          <w:numId w:val="1"/>
        </w:numPr>
        <w:spacing w:after="60"/>
      </w:pPr>
      <w:r>
        <w:rPr>
          <w:rFonts w:ascii="Times New Roman" w:cs="Times New Roman" w:eastAsia="Times New Roman" w:hAnsi="Times New Roman"/>
          <w:color w:val="1F2937"/>
          <w:sz w:val="22"/>
          <w:szCs w:val="22"/>
        </w:rPr>
        <w:t xml:space="preserve">As-tu parfois utilisé ton type pour justifier un comportement que tu pourrais choisir autrement ? (le type comme excuse plutôt que comme outil de travail)</w:t>
      </w:r>
    </w:p>
    <w:p>
      <w:pPr>
        <w:pStyle w:val="ListParagraph"/>
        <w:numPr>
          <w:ilvl w:val="0"/>
          <w:numId w:val="1"/>
        </w:numPr>
        <w:spacing w:after="60"/>
      </w:pPr>
      <w:r>
        <w:rPr>
          <w:rFonts w:ascii="Times New Roman" w:cs="Times New Roman" w:eastAsia="Times New Roman" w:hAnsi="Times New Roman"/>
          <w:color w:val="1F2937"/>
          <w:sz w:val="22"/>
          <w:szCs w:val="22"/>
        </w:rPr>
        <w:t xml:space="preserve">As-tu distingué ce qui t'appartient en tant que chemin personnel de ce qui pourrait être pertinent — ou déplacé — en contexte professionnel ?</w:t>
      </w:r>
    </w:p>
    <w:p>
      <w:pPr>
        <w:spacing w:after="80"/>
      </w:pPr>
      <w:r>
        <w:t xml:space="preserve"/>
      </w:r>
    </w:p>
    <w:p>
      <w:pPr>
        <w:spacing w:after="100"/>
      </w:pPr>
      <w:r>
        <w:rPr>
          <w:rFonts w:ascii="Times New Roman" w:cs="Times New Roman" w:eastAsia="Times New Roman" w:hAnsi="Times New Roman"/>
          <w:color w:val="1F2937"/>
          <w:sz w:val="22"/>
          <w:szCs w:val="22"/>
        </w:rPr>
        <w:t xml:space="preserve">Ces trois questions ne sont pas des reproches. Elles sont la marque que le modèle a été pris au sérieux : les outils sérieux ont des dérives sérieuses, et les nommer est une forme de respect envers le travail accompli.</w:t>
      </w:r>
    </w:p>
    <w:p>
      <w:pPr>
        <w:spacing w:after="80"/>
      </w:pPr>
      <w:r>
        <w:t xml:space="preserve"/>
      </w:r>
    </w:p>
    <w:p>
      <w:pPr>
        <w:spacing w:after="120" w:before="320"/>
      </w:pPr>
      <w:r>
        <w:rPr>
          <w:rFonts w:ascii="Times New Roman" w:cs="Times New Roman" w:eastAsia="Times New Roman" w:hAnsi="Times New Roman"/>
          <w:b/>
          <w:bCs/>
          <w:color w:val="1B3A6B"/>
          <w:sz w:val="30"/>
          <w:szCs w:val="30"/>
        </w:rPr>
        <w:t xml:space="preserve">🎯 Challenge — La notice personnelle</w:t>
      </w:r>
    </w:p>
    <w:p>
      <w:pPr>
        <w:spacing w:after="100"/>
      </w:pPr>
      <w:r>
        <w:rPr>
          <w:rFonts w:ascii="Times New Roman" w:cs="Times New Roman" w:eastAsia="Times New Roman" w:hAnsi="Times New Roman"/>
          <w:color w:val="1F2937"/>
          <w:sz w:val="22"/>
          <w:szCs w:val="22"/>
        </w:rPr>
        <w:t xml:space="preserve">Rédige un texte d'une page (500 à 700 mots), non destiné à être partagé, intitulé « Ce que l'ennéagramme m'a appris de moi ». Structure en cinq parties :</w:t>
      </w:r>
    </w:p>
    <w:p>
      <w:pPr>
        <w:pStyle w:val="ListParagraph"/>
        <w:numPr>
          <w:ilvl w:val="0"/>
          <w:numId w:val="1"/>
        </w:numPr>
        <w:spacing w:after="60"/>
      </w:pPr>
      <w:r>
        <w:rPr>
          <w:rFonts w:ascii="Times New Roman" w:cs="Times New Roman" w:eastAsia="Times New Roman" w:hAnsi="Times New Roman"/>
          <w:color w:val="1F2937"/>
          <w:sz w:val="22"/>
          <w:szCs w:val="22"/>
        </w:rPr>
        <w:t xml:space="preserve">Mon type principal (et mes doutes éventuels — la certitude n'est pas requise, et l'incertitude est elle-même informative).</w:t>
      </w:r>
    </w:p>
    <w:p>
      <w:pPr>
        <w:pStyle w:val="ListParagraph"/>
        <w:numPr>
          <w:ilvl w:val="0"/>
          <w:numId w:val="1"/>
        </w:numPr>
        <w:spacing w:after="60"/>
      </w:pPr>
      <w:r>
        <w:rPr>
          <w:rFonts w:ascii="Times New Roman" w:cs="Times New Roman" w:eastAsia="Times New Roman" w:hAnsi="Times New Roman"/>
          <w:color w:val="1F2937"/>
          <w:sz w:val="22"/>
          <w:szCs w:val="22"/>
        </w:rPr>
        <w:t xml:space="preserve">Les dynamiques qui me définissent le mieux : aile dominante, flèche d'intégration la plus vivante, instinct de conservation principal.</w:t>
      </w:r>
    </w:p>
    <w:p>
      <w:pPr>
        <w:pStyle w:val="ListParagraph"/>
        <w:numPr>
          <w:ilvl w:val="0"/>
          <w:numId w:val="1"/>
        </w:numPr>
        <w:spacing w:after="60"/>
      </w:pPr>
      <w:r>
        <w:rPr>
          <w:rFonts w:ascii="Times New Roman" w:cs="Times New Roman" w:eastAsia="Times New Roman" w:hAnsi="Times New Roman"/>
          <w:color w:val="1F2937"/>
          <w:sz w:val="22"/>
          <w:szCs w:val="22"/>
        </w:rPr>
        <w:t xml:space="preserve">Trois apports concrets que je garde du parcours, formulés en termes personnels et non génériques.</w:t>
      </w:r>
    </w:p>
    <w:p>
      <w:pPr>
        <w:pStyle w:val="ListParagraph"/>
        <w:numPr>
          <w:ilvl w:val="0"/>
          <w:numId w:val="1"/>
        </w:numPr>
        <w:spacing w:after="60"/>
      </w:pPr>
      <w:r>
        <w:rPr>
          <w:rFonts w:ascii="Times New Roman" w:cs="Times New Roman" w:eastAsia="Times New Roman" w:hAnsi="Times New Roman"/>
          <w:color w:val="1F2937"/>
          <w:sz w:val="22"/>
          <w:szCs w:val="22"/>
        </w:rPr>
        <w:t xml:space="preserve">Un garde-fou que je me fixe dans l'usage futur du modèle.</w:t>
      </w:r>
    </w:p>
    <w:p>
      <w:pPr>
        <w:pStyle w:val="ListParagraph"/>
        <w:numPr>
          <w:ilvl w:val="0"/>
          <w:numId w:val="1"/>
        </w:numPr>
        <w:spacing w:after="60"/>
      </w:pPr>
      <w:r>
        <w:rPr>
          <w:rFonts w:ascii="Times New Roman" w:cs="Times New Roman" w:eastAsia="Times New Roman" w:hAnsi="Times New Roman"/>
          <w:color w:val="1F2937"/>
          <w:sz w:val="22"/>
          <w:szCs w:val="22"/>
        </w:rPr>
        <w:t xml:space="preserve">Ce que je veux approfondir : une piste concrète, pas une intention vague.</w:t>
      </w:r>
    </w:p>
    <w:p>
      <w:pPr>
        <w:spacing w:after="80"/>
      </w:pPr>
      <w:r>
        <w:t xml:space="preserve"/>
      </w:r>
    </w:p>
    <w:p>
      <w:pPr>
        <w:spacing w:after="100"/>
      </w:pPr>
      <w:r>
        <w:rPr>
          <w:rFonts w:ascii="Times New Roman" w:cs="Times New Roman" w:eastAsia="Times New Roman" w:hAnsi="Times New Roman"/>
          <w:color w:val="1F2937"/>
          <w:sz w:val="22"/>
          <w:szCs w:val="22"/>
        </w:rPr>
        <w:t xml:space="preserve">Ce texte est la trace personnelle de vingt semaines de travail. Il n'a pas à être parfait ni définitif. L'ennéagramme est un processus : ce que tu écriras dans six mois sera différent — et ce sera normal.</w:t>
      </w:r>
    </w:p>
    <w:p>
      <w:pPr>
        <w:spacing w:after="80"/>
      </w:pPr>
      <w:r>
        <w:t xml:space="preserve"/>
      </w:r>
    </w:p>
    <w:p>
      <w:pPr>
        <w:spacing w:after="120" w:before="320"/>
      </w:pPr>
      <w:r>
        <w:rPr>
          <w:rFonts w:ascii="Times New Roman" w:cs="Times New Roman" w:eastAsia="Times New Roman" w:hAnsi="Times New Roman"/>
          <w:b/>
          <w:bCs/>
          <w:color w:val="1B3A6B"/>
          <w:sz w:val="30"/>
          <w:szCs w:val="30"/>
        </w:rPr>
        <w:t xml:space="preserve">🌉 Pont pro</w:t>
      </w:r>
    </w:p>
    <w:p>
      <w:pPr>
        <w:spacing w:after="100"/>
      </w:pPr>
      <w:r>
        <w:rPr>
          <w:rFonts w:ascii="Times New Roman" w:cs="Times New Roman" w:eastAsia="Times New Roman" w:hAnsi="Times New Roman"/>
          <w:color w:val="1F2937"/>
          <w:sz w:val="22"/>
          <w:szCs w:val="22"/>
        </w:rPr>
        <w:t xml:space="preserve">La leçon 18 l'a établi clairement : en ESSMS, aucune décision d'équipe, de recrutement ou d'évaluation ne peut s'appuyer sur un type ennéagramme — ni pour les professionnels, ni, a fortiori, pour les personnes accompagnées. Ce parcours t'a fourni des outils de connaissance de toi-même, pas un référentiel institutionnalisable.</w:t>
      </w:r>
    </w:p>
    <w:p>
      <w:pPr>
        <w:spacing w:after="100"/>
      </w:pPr>
      <w:r>
        <w:rPr>
          <w:rFonts w:ascii="Times New Roman" w:cs="Times New Roman" w:eastAsia="Times New Roman" w:hAnsi="Times New Roman"/>
          <w:color w:val="1F2937"/>
          <w:sz w:val="22"/>
          <w:szCs w:val="22"/>
        </w:rPr>
        <w:t xml:space="preserve">Ce qui peut migrer du personnel au professionnel, c'est uniquement la posture : la conscience de ses propres mécanismes sous stress, la capacité à distinguer sa réaction de la situation objective, la prudence vis-à-vis de ses propres angles morts. Ces transferts relèvent de la préparation personnelle — ils ne se citent pas dans un projet d'établissement, et ils ne se transmettent pas à une équipe comme un outil de formation.</w:t>
      </w:r>
    </w:p>
    <w:p>
      <w:pPr>
        <w:spacing w:after="80"/>
      </w:pPr>
      <w:r>
        <w:t xml:space="preserve"/>
      </w:r>
    </w:p>
    <w:p>
      <w:pPr>
        <w:spacing w:after="120" w:before="320"/>
      </w:pPr>
      <w:r>
        <w:rPr>
          <w:rFonts w:ascii="Times New Roman" w:cs="Times New Roman" w:eastAsia="Times New Roman" w:hAnsi="Times New Roman"/>
          <w:b/>
          <w:bCs/>
          <w:color w:val="1B3A6B"/>
          <w:sz w:val="30"/>
          <w:szCs w:val="30"/>
        </w:rPr>
        <w:t xml:space="preserve">📚 Ressources cliquables pour approfondir</w:t>
      </w:r>
    </w:p>
    <w:p>
      <w:pPr>
        <w:spacing w:after="100"/>
      </w:pPr>
      <w:r>
        <w:rPr>
          <w:rFonts w:ascii="Times New Roman" w:cs="Times New Roman" w:eastAsia="Times New Roman" w:hAnsi="Times New Roman"/>
          <w:color w:val="1F2937"/>
          <w:sz w:val="22"/>
          <w:szCs w:val="22"/>
        </w:rPr>
        <w:t xml:space="preserve">Ces sept sources ont alimenté ce bilan final. Elles couvrent les dimensions institutionnelle, académique, francophone et de recherche récente du modèle.</w:t>
      </w:r>
    </w:p>
    <w:p>
      <w:pPr>
        <w:spacing w:after="80"/>
      </w:pPr>
      <w:r>
        <w:t xml:space="preserve"/>
      </w:r>
    </w:p>
    <w:p>
      <w:pPr>
        <w:spacing w:after="80"/>
      </w:pPr>
      <w:r>
        <w:rPr>
          <w:rFonts w:ascii="Times New Roman" w:cs="Times New Roman" w:eastAsia="Times New Roman" w:hAnsi="Times New Roman"/>
          <w:color w:val="1F2937"/>
          <w:sz w:val="22"/>
          <w:szCs w:val="22"/>
        </w:rPr>
        <w:t xml:space="preserve">→ </w:t>
      </w:r>
      <w:hyperlink w:history="1" r:id="rIdqp-qe4iuqumwp2pqhkhqj">
        <w:r>
          <w:rPr>
            <w:rFonts w:ascii="Times New Roman" w:cs="Times New Roman" w:eastAsia="Times New Roman" w:hAnsi="Times New Roman"/>
            <w:color w:val="1155CC"/>
            <w:sz w:val="22"/>
            <w:szCs w:val="22"/>
            <w:u w:val="single"/>
          </w:rPr>
          <w:t xml:space="preserve">Enneagram Institute — descriptions de référence par type (Riso-Hudson)</w:t>
        </w:r>
      </w:hyperlink>
    </w:p>
    <w:p>
      <w:pPr>
        <w:spacing w:after="80"/>
      </w:pPr>
      <w:r>
        <w:rPr>
          <w:rFonts w:ascii="Times New Roman" w:cs="Times New Roman" w:eastAsia="Times New Roman" w:hAnsi="Times New Roman"/>
          <w:color w:val="1F2937"/>
          <w:sz w:val="22"/>
          <w:szCs w:val="22"/>
        </w:rPr>
        <w:t xml:space="preserve">→ </w:t>
      </w:r>
      <w:hyperlink w:history="1" r:id="rIdqh8fs1e_f2vrbdpdu0fgo">
        <w:r>
          <w:rPr>
            <w:rFonts w:ascii="Times New Roman" w:cs="Times New Roman" w:eastAsia="Times New Roman" w:hAnsi="Times New Roman"/>
            <w:color w:val="1155CC"/>
            <w:sz w:val="22"/>
            <w:szCs w:val="22"/>
            <w:u w:val="single"/>
          </w:rPr>
          <w:t xml:space="preserve">Wikipedia — Enneagram of Personality : statut épistémique, débats et recherches empiriques</w:t>
        </w:r>
      </w:hyperlink>
    </w:p>
    <w:p>
      <w:pPr>
        <w:spacing w:after="80"/>
      </w:pPr>
      <w:r>
        <w:rPr>
          <w:rFonts w:ascii="Times New Roman" w:cs="Times New Roman" w:eastAsia="Times New Roman" w:hAnsi="Times New Roman"/>
          <w:color w:val="1F2937"/>
          <w:sz w:val="22"/>
          <w:szCs w:val="22"/>
        </w:rPr>
        <w:t xml:space="preserve">→ </w:t>
      </w:r>
      <w:hyperlink w:history="1" r:id="rIddz23x2w_efdyeauo0apyf">
        <w:r>
          <w:rPr>
            <w:rFonts w:ascii="Times New Roman" w:cs="Times New Roman" w:eastAsia="Times New Roman" w:hAnsi="Times New Roman"/>
            <w:color w:val="1155CC"/>
            <w:sz w:val="22"/>
            <w:szCs w:val="22"/>
            <w:u w:val="single"/>
          </w:rPr>
          <w:t xml:space="preserve">Narrative Enneagram (Helen Palmer et David Daniels) — approche narrative et somatique, 35 ans de pratique certifiante</w:t>
        </w:r>
      </w:hyperlink>
    </w:p>
    <w:p>
      <w:pPr>
        <w:spacing w:after="80"/>
      </w:pPr>
      <w:r>
        <w:rPr>
          <w:rFonts w:ascii="Times New Roman" w:cs="Times New Roman" w:eastAsia="Times New Roman" w:hAnsi="Times New Roman"/>
          <w:color w:val="1F2937"/>
          <w:sz w:val="22"/>
          <w:szCs w:val="22"/>
        </w:rPr>
        <w:t xml:space="preserve">→ </w:t>
      </w:r>
      <w:hyperlink w:history="1" r:id="rId8xf7hspu9m2u9sq_f0qd0">
        <w:r>
          <w:rPr>
            <w:rFonts w:ascii="Times New Roman" w:cs="Times New Roman" w:eastAsia="Times New Roman" w:hAnsi="Times New Roman"/>
            <w:color w:val="1155CC"/>
            <w:sz w:val="22"/>
            <w:szCs w:val="22"/>
            <w:u w:val="single"/>
          </w:rPr>
          <w:t xml:space="preserve">Integrative9 — modèle intégratif croisant théorie intégrale, neurosciences et pleine conscience</w:t>
        </w:r>
      </w:hyperlink>
    </w:p>
    <w:p>
      <w:pPr>
        <w:spacing w:after="80"/>
      </w:pPr>
      <w:r>
        <w:rPr>
          <w:rFonts w:ascii="Times New Roman" w:cs="Times New Roman" w:eastAsia="Times New Roman" w:hAnsi="Times New Roman"/>
          <w:color w:val="1F2937"/>
          <w:sz w:val="22"/>
          <w:szCs w:val="22"/>
        </w:rPr>
        <w:t xml:space="preserve">→ </w:t>
      </w:r>
      <w:hyperlink w:history="1" r:id="rIdupgsqotn6kxlhsbtmgtc1">
        <w:r>
          <w:rPr>
            <w:rFonts w:ascii="Times New Roman" w:cs="Times New Roman" w:eastAsia="Times New Roman" w:hAnsi="Times New Roman"/>
            <w:color w:val="1155CC"/>
            <w:sz w:val="22"/>
            <w:szCs w:val="22"/>
            <w:u w:val="single"/>
          </w:rPr>
          <w:t xml:space="preserve">Truity — descriptions synthétiques des neuf types, 50 millions de passations</w:t>
        </w:r>
      </w:hyperlink>
    </w:p>
    <w:p>
      <w:pPr>
        <w:spacing w:after="80"/>
      </w:pPr>
      <w:r>
        <w:rPr>
          <w:rFonts w:ascii="Times New Roman" w:cs="Times New Roman" w:eastAsia="Times New Roman" w:hAnsi="Times New Roman"/>
          <w:color w:val="1F2937"/>
          <w:sz w:val="22"/>
          <w:szCs w:val="22"/>
        </w:rPr>
        <w:t xml:space="preserve">→ </w:t>
      </w:r>
      <w:hyperlink w:history="1" r:id="rIdjhrwcjzwgls9t0x4irafd">
        <w:r>
          <w:rPr>
            <w:rFonts w:ascii="Times New Roman" w:cs="Times New Roman" w:eastAsia="Times New Roman" w:hAnsi="Times New Roman"/>
            <w:color w:val="1155CC"/>
            <w:sz w:val="22"/>
            <w:szCs w:val="22"/>
            <w:u w:val="single"/>
          </w:rPr>
          <w:t xml:space="preserve">Institut Français de l'Ennéagramme — Les six apports structurants du modèle</w:t>
        </w:r>
      </w:hyperlink>
    </w:p>
    <w:p>
      <w:pPr>
        <w:spacing w:after="80"/>
      </w:pPr>
      <w:r>
        <w:rPr>
          <w:rFonts w:ascii="Times New Roman" w:cs="Times New Roman" w:eastAsia="Times New Roman" w:hAnsi="Times New Roman"/>
          <w:color w:val="1F2937"/>
          <w:sz w:val="22"/>
          <w:szCs w:val="22"/>
        </w:rPr>
        <w:t xml:space="preserve">→ </w:t>
      </w:r>
      <w:hyperlink w:history="1" r:id="rIdj8qz3px2in1t6vesykj5d">
        <w:r>
          <w:rPr>
            <w:rFonts w:ascii="Times New Roman" w:cs="Times New Roman" w:eastAsia="Times New Roman" w:hAnsi="Times New Roman"/>
            <w:color w:val="1155CC"/>
            <w:sz w:val="22"/>
            <w:szCs w:val="22"/>
            <w:u w:val="single"/>
          </w:rPr>
          <w:t xml:space="preserve">Ramos-Vera et al. (2022), Frontiers in Psychology — Ennéagramme, personnalité saine et résilience au stress psychosocial</w:t>
        </w:r>
      </w:hyperlink>
    </w:p>
    <w:p>
      <w:pPr>
        <w:spacing w:after="80"/>
      </w:pPr>
      <w:r>
        <w:t xml:space="preserve"/>
      </w:r>
    </w:p>
    <w:p>
      <w:pPr>
        <w:shd w:fill="F3F4F6" w:val="clear"/>
        <w:spacing w:after="100"/>
        <w:ind w:left="720"/>
      </w:pPr>
      <w:r>
        <w:rPr>
          <w:rFonts w:ascii="Times New Roman" w:cs="Times New Roman" w:eastAsia="Times New Roman" w:hAnsi="Times New Roman"/>
          <w:i/>
          <w:iCs/>
          <w:color w:val="1B3A6B"/>
          <w:sz w:val="22"/>
          <w:szCs w:val="22"/>
        </w:rPr>
        <w:t xml:space="preserve">Note sur les sources : Enneagram Institute, Narrative Enneagram, Integrative9 et Truity sont des sources praticiens-formateurs avec un intérêt direct à la diffusion du modèle — leur autorité porte sur les descriptions et les applications, pas sur la validité empirique. Pour les énoncés sur la fiabilité et la validité scientifique, la seule source indépendante citée dans ce parcours est la revue systématique de Hook et al. (Journal of Clinical Psychology, 2021, 77(4), 865-883).</w:t>
      </w:r>
    </w:p>
    <w:p>
      <w:pPr>
        <w:spacing w:after="80"/>
      </w:pPr>
      <w:r>
        <w:t xml:space="preserve"/>
      </w:r>
    </w:p>
    <w:p>
      <w:pPr>
        <w:spacing w:after="120" w:before="320"/>
      </w:pPr>
      <w:r>
        <w:rPr>
          <w:rFonts w:ascii="Times New Roman" w:cs="Times New Roman" w:eastAsia="Times New Roman" w:hAnsi="Times New Roman"/>
          <w:b/>
          <w:bCs/>
          <w:color w:val="1B3A6B"/>
          <w:sz w:val="30"/>
          <w:szCs w:val="30"/>
        </w:rPr>
        <w:t xml:space="preserve">🔜 Prochaine leçon</w:t>
      </w:r>
    </w:p>
    <w:p>
      <w:pPr>
        <w:spacing w:after="100"/>
      </w:pPr>
      <w:r>
        <w:rPr>
          <w:rFonts w:ascii="Times New Roman" w:cs="Times New Roman" w:eastAsia="Times New Roman" w:hAnsi="Times New Roman"/>
          <w:color w:val="1F2937"/>
          <w:sz w:val="22"/>
          <w:szCs w:val="22"/>
        </w:rPr>
        <w:t xml:space="preserve">Il n'y en a pas.</w:t>
      </w:r>
    </w:p>
    <w:p>
      <w:pPr>
        <w:spacing w:after="80"/>
      </w:pPr>
      <w:r>
        <w:t xml:space="preserve"/>
      </w:r>
    </w:p>
    <w:p>
      <w:pPr>
        <w:spacing w:after="100"/>
      </w:pPr>
      <w:r>
        <w:rPr>
          <w:rFonts w:ascii="Times New Roman" w:cs="Times New Roman" w:eastAsia="Times New Roman" w:hAnsi="Times New Roman"/>
          <w:color w:val="1F2937"/>
          <w:sz w:val="22"/>
          <w:szCs w:val="22"/>
        </w:rPr>
        <w:t xml:space="preserve">Ce parcours de 20 leçons est terminé. Du symbole ésotérique à la revue systématique, des neuf types aux 27 sous-types, des ailes aux triades harmoniques, des relations de couple aux dérives institutionnelles — le tour a été fait.</w:t>
      </w:r>
    </w:p>
    <w:p>
      <w:pPr>
        <w:spacing w:after="100"/>
      </w:pPr>
      <w:r>
        <w:rPr>
          <w:rFonts w:ascii="Times New Roman" w:cs="Times New Roman" w:eastAsia="Times New Roman" w:hAnsi="Times New Roman"/>
          <w:color w:val="1F2937"/>
          <w:sz w:val="22"/>
          <w:szCs w:val="22"/>
        </w:rPr>
        <w:t xml:space="preserve">Ce que l'ennéagramme peut t'apporter, tu en as maintenant les clés. Ce qu'il ne peut pas faire, tu le sais aussi. La suite t'appartient.</w:t>
      </w:r>
    </w:p>
    <w:p>
      <w:pPr>
        <w:spacing w:after="80"/>
      </w:pPr>
      <w:r>
        <w:t xml:space="preserve"/>
      </w:r>
    </w:p>
    <w:p>
      <w:pPr>
        <w:shd w:fill="F3F4F6" w:val="clear"/>
        <w:spacing w:after="100"/>
        <w:ind w:left="720"/>
      </w:pPr>
      <w:r>
        <w:rPr>
          <w:rFonts w:ascii="Times New Roman" w:cs="Times New Roman" w:eastAsia="Times New Roman" w:hAnsi="Times New Roman"/>
          <w:i/>
          <w:iCs/>
          <w:color w:val="1B3A6B"/>
          <w:sz w:val="22"/>
          <w:szCs w:val="22"/>
        </w:rPr>
        <w:t xml:space="preserve">✅ Parcours terminé — les 20 leçons ont été produites. Ce job peut désormais être supprimé ou remplacé.</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p-qe4iuqumwp2pqhkhqj" Type="http://schemas.openxmlformats.org/officeDocument/2006/relationships/hyperlink" Target="https://www.enneagraminstitute.com/" TargetMode="External"/><Relationship Id="rIdqh8fs1e_f2vrbdpdu0fgo" Type="http://schemas.openxmlformats.org/officeDocument/2006/relationships/hyperlink" Target="https://en.wikipedia.org/wiki/Enneagram_of_Personality" TargetMode="External"/><Relationship Id="rIddz23x2w_efdyeauo0apyf" Type="http://schemas.openxmlformats.org/officeDocument/2006/relationships/hyperlink" Target="https://www.narrativeenneagram.org/" TargetMode="External"/><Relationship Id="rId8xf7hspu9m2u9sq_f0qd0" Type="http://schemas.openxmlformats.org/officeDocument/2006/relationships/hyperlink" Target="https://www.integrative9.com/" TargetMode="External"/><Relationship Id="rIdupgsqotn6kxlhsbtmgtc1" Type="http://schemas.openxmlformats.org/officeDocument/2006/relationships/hyperlink" Target="https://www.truity.com/enneagram" TargetMode="External"/><Relationship Id="rIdjhrwcjzwgls9t0x4irafd" Type="http://schemas.openxmlformats.org/officeDocument/2006/relationships/hyperlink" Target="https://www.enneagramme.com/Theorie/9_apport.htm" TargetMode="External"/><Relationship Id="rIdj8qz3px2in1t6vesykj5d" Type="http://schemas.openxmlformats.org/officeDocument/2006/relationships/hyperlink" Target="https://www.frontiersin.org/journals/psychology/articles/10.3389/fpsyg.2022.1051271/ful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2026-10-14T07:10:24.459Z</dcterms:created>
  <dcterms:modified xsi:type="dcterms:W3CDTF">2026-10-14T07:10:24.475Z</dcterms:modified>
</cp:coreProperties>
</file>

<file path=docProps/custom.xml><?xml version="1.0" encoding="utf-8"?>
<Properties xmlns="http://schemas.openxmlformats.org/officeDocument/2006/custom-properties" xmlns:vt="http://schemas.openxmlformats.org/officeDocument/2006/docPropsVTypes"/>
</file>