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Placement financier n°8</w:t>
      </w:r>
    </w:p>
    <w:p>
      <w:pPr>
        <w:pStyle w:val="Heading1"/>
        <w:spacing w:after="200" w:before="200"/>
        <w:jc w:val="center"/>
      </w:pPr>
      <w:r>
        <w:rPr>
          <w:rFonts w:ascii="Times New Roman" w:cs="Times New Roman" w:eastAsia="Times New Roman" w:hAnsi="Times New Roman"/>
          <w:b/>
          <w:bCs/>
          <w:color w:val="1B3A6B"/>
          <w:sz w:val="52"/>
          <w:szCs w:val="52"/>
        </w:rPr>
        <w:t xml:space="preserve">Immobilier et « pierre-papier » (SCPI)</w:t>
      </w:r>
    </w:p>
    <w:p>
      <w:pPr>
        <w:spacing w:after="80" w:before="80"/>
        <w:jc w:val="center"/>
      </w:pPr>
      <w:r>
        <w:rPr>
          <w:rFonts w:ascii="Times New Roman" w:cs="Times New Roman" w:eastAsia="Times New Roman" w:hAnsi="Times New Roman"/>
          <w:i/>
          <w:iCs/>
          <w:color w:val="1B3A6B"/>
          <w:sz w:val="22"/>
          <w:szCs w:val="22"/>
        </w:rPr>
        <w:t xml:space="preserve">1er août 2026  |  Module Intermédiaire — Leçon 8 / 16</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Rappel — Éducation financière générale</w:t>
      </w:r>
    </w:p>
    <w:p>
      <w:pPr>
        <w:pBdr>
          <w:left w:val="single" w:color="1B3A6B" w:sz="12"/>
        </w:pBdr>
        <w:shd w:fill="EEF2F7" w:val="clear"/>
        <w:spacing w:after="100" w:before="100"/>
        <w:ind w:left="431" w:right="431"/>
      </w:pPr>
      <w:r>
        <w:rPr>
          <w:rFonts w:ascii="Times New Roman" w:cs="Times New Roman" w:eastAsia="Times New Roman" w:hAnsi="Times New Roman"/>
          <w:color w:val="1F2937"/>
          <w:sz w:val="22"/>
          <w:szCs w:val="22"/>
        </w:rPr>
        <w:t xml:space="preserve">Cette leçon relève de l'éducation financière générale et ne constitue en aucun cas un conseil en investissement personnalisé. Les placements immobiliers comportent un risque de perte en capital et un risque de liquidité. Pour toute décision, consultez un conseiller en gestion de patrimoine (CGP) ou un conseiller en investissements financiers (CIF) agréé.</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l'issue de cette leçon, tu sauras distinguer les trois grands véhicules de « pierre-papier » (SCPI, OPCI, SIIC) — terme de La finance pour tous, dont la rubrique porte ce nom, et du guide pédagogique de l'AMF, tous deux en ressources, identifier leurs frais réels, leurs risques de liquidité et leur fonctionnement fiscal — et comparer l'immobilier indirect à l'immobilier direct.</w:t>
      </w:r>
    </w:p>
    <w:p>
      <w:pPr>
        <w:spacing w:after="60" w:before="60"/>
      </w:pPr>
      <w:r>
        <w:rPr>
          <w:rFonts w:ascii="Times New Roman" w:cs="Times New Roman" w:eastAsia="Times New Roman" w:hAnsi="Times New Roman"/>
          <w:color w:val="1F2937"/>
          <w:sz w:val="22"/>
          <w:szCs w:val="22"/>
        </w:rPr>
        <w:t xml:space="preserve">Continuité : en leçon 7, nous avons étudié le PER et la préparation de la retraite. L'immobilier et la pierre-papier constituent une classe d'actifs distincte, souvent envisagée en complément des enveloppes financières (assurance-vie, PER) pour diversifier un patrimoine à horizon 7-10 ans.</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Théorie (20%) — Immobilier direct vs pierre-papier</w:t>
      </w:r>
    </w:p>
    <w:p>
      <w:pPr>
        <w:pStyle w:val="Heading3"/>
        <w:spacing w:after="80" w:before="200"/>
      </w:pPr>
      <w:r>
        <w:rPr>
          <w:rFonts w:ascii="Times New Roman" w:cs="Times New Roman" w:eastAsia="Times New Roman" w:hAnsi="Times New Roman"/>
          <w:b/>
          <w:bCs/>
          <w:color w:val="1F2937"/>
          <w:sz w:val="26"/>
          <w:szCs w:val="26"/>
        </w:rPr>
        <w:t xml:space="preserve">1. L'immobilier direct : avantages et réalités</w:t>
      </w:r>
    </w:p>
    <w:p>
      <w:pPr>
        <w:spacing w:after="60" w:before="60"/>
      </w:pPr>
      <w:r>
        <w:rPr>
          <w:rFonts w:ascii="Times New Roman" w:cs="Times New Roman" w:eastAsia="Times New Roman" w:hAnsi="Times New Roman"/>
          <w:color w:val="1F2937"/>
          <w:sz w:val="22"/>
          <w:szCs w:val="22"/>
        </w:rPr>
        <w:t xml:space="preserve">L'investissement immobilier direct consiste à acquérir un bien physique (appartement, maison, local commercial) pour le louer ou le revendre. Il permet d'utiliser l'effet de levier du crédit bancaire et génère des revenus fonciers. Mais il exige un ticket d'entrée élevé (souvent ≥ 100 000 €), des frais de notaire (~7-8 % dans l'ancien), une gestion personnelle chronophage, et une liquidité faible : une vente peut prendre des mois.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Revenus : loyers soumis à l'impôt sur le revenu (régime foncier ou LMNP selon le statut).</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Plus-values : régime immobilier spécifique avec abattements progressifs pour durée de détention.</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Contrainte DPE (depuis le 1er janvier 2025) : les logements classés G sont interdits à la location. Les classes F suivront en 2028.</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Réforme LMNP 2026 (signalée dans la presse spécialisée) : selon plusieurs sources, les amortissements seraient réintégrés dans le calcul de la plus-value à la revente pour les biens acquis après le 1er janvier 2025 — ce point est à vérifier auprès d'un professionnel ou sur impots.gouv.fr, la règle évoluant.</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2. La « pierre-papier » : définition et trois véhicules</w:t>
      </w:r>
      <w:r>
        <w:rPr>
          <w:rFonts w:ascii="Times New Roman" w:cs="Times New Roman" w:eastAsia="Times New Roman" w:hAnsi="Times New Roman"/>
          <w:i/>
          <w:iCs/>
          <w:color w:val="6B7280"/>
          <w:sz w:val="20"/>
          <w:szCs w:val="20"/>
        </w:rPr>
        <w:t xml:space="preserve"> [Corrigé le 26/09/2026 : le terme « pierre-papier » se trouvait rattaché, par simple proximité, à la seule source nommée alentour — impots.gouv.fr, citée deux paragraphes plus haut pour les taux du PFU, et qui ne l'emploie pas. Le terme vient de La finance pour tous, dont la rubrique s'intitule précisément « La pierre-papier » : lafinancepourtous.com/pratique/immobilier/les-autres-formes-de-detention-d-un-bien-immobilier/la-pierre-papier/, page déjà listée en ressources et rouverte le 26/09/2026. Le guide pédagogique de l'AMF listé plus bas emploie le même terme dans son titre.]</w:t>
      </w:r>
    </w:p>
    <w:p>
      <w:pPr>
        <w:spacing w:after="60" w:before="60"/>
      </w:pPr>
      <w:r>
        <w:rPr>
          <w:rFonts w:ascii="Times New Roman" w:cs="Times New Roman" w:eastAsia="Times New Roman" w:hAnsi="Times New Roman"/>
          <w:color w:val="1F2937"/>
          <w:sz w:val="22"/>
          <w:szCs w:val="22"/>
        </w:rPr>
        <w:t xml:space="preserve">La pierre-papier (terme pédagogique de La Finance Pour Tous) désigne l'investissement immobilier indirect : l'investisseur achète des parts de sociétés ou de fonds qui détiennent et gèrent des actifs immobiliers. Il perçoit des revenus proportionnels à ses parts, sans gérer les locataires ni les travaux.</w:t>
      </w:r>
    </w:p>
    <w:p>
      <w:pPr>
        <w:spacing w:after="60" w:before="60"/>
      </w:pPr>
      <w:r>
        <w:rPr>
          <w:rFonts w:ascii="Times New Roman" w:cs="Times New Roman" w:eastAsia="Times New Roman" w:hAnsi="Times New Roman"/>
          <w:color w:val="1F2937"/>
          <w:sz w:val="22"/>
          <w:szCs w:val="22"/>
        </w:rPr>
        <w:t xml:space="preserve">Selon La Finance Pour Tous (lafinancepourtous.com), trois véhicules principaux existent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SCPI (Société Civile de Placements Immobiliers) : détient directement des immeubles (bureaux, commerces, résidentiel, santé…). Revenus = loyers versés sous forme de dividendes trimestriels.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OPCI (Organisme de Placement Collectif Immobilier) : véhicule hybride, composé d'immeubles ET d'actifs financiers liquides (minimum 10 % d'actifs liquides imposés par la réglementation). Liquidité supérieure à la SCPI, rendement généralement inférieur.</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SIIC (Sociétés d'Investissement Immobilier Cotées) ou foncières cotées : cotées en Bourse → liquidité maximale, mais volatilité directement liée aux marchés financiers.</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3. Les SCPI en détail : frais, rendement, liquidité (chiffres sourcés)</w:t>
      </w:r>
    </w:p>
    <w:p>
      <w:pPr>
        <w:spacing w:after="60" w:before="60"/>
      </w:pPr>
      <w:r>
        <w:rPr>
          <w:rFonts w:ascii="Times New Roman" w:cs="Times New Roman" w:eastAsia="Times New Roman" w:hAnsi="Times New Roman"/>
          <w:color w:val="1F2937"/>
          <w:sz w:val="22"/>
          <w:szCs w:val="22"/>
        </w:rPr>
        <w:t xml:space="preserve">Les chiffres ci-dessous sont issus de La Finance Pour Tous (lafinancepourtous.com) et concordent avec les guides pédagogiques de l'AMF (amf-france.org)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Frais d'entrée (souscription + enregistrement) : 6 % à 12 % du montant investi — ces frais sont prélevés dès l'achat et constituent un « coût d'entrée » à amortir sur la durée.</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Frais de gestion annuels : 6 % à 10 % des revenus locatifs collectés.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Rendement annuel brut moyen : 4 % à 5 %/an (plus élevé sur l'immobilier commercial que résidentiel).</w:t>
      </w:r>
      <w:r>
        <w:rPr>
          <w:rFonts w:ascii="Times New Roman" w:cs="Times New Roman" w:eastAsia="Times New Roman" w:hAnsi="Times New Roman"/>
          <w:i/>
          <w:iCs/>
          <w:color w:val="6B7280"/>
          <w:sz w:val="20"/>
          <w:szCs w:val="20"/>
        </w:rPr>
        <w:t xml:space="preserve"> [Précisé le 26/09/2026 : la leçon 07 annonçait « nous analyserons les RENDEMENTS HISTORIQUES ». Ce chiffre est une MOYENNE COURANTE, pas une série historique : cette leçon ne donne aucune évolution année par année du taux de distribution des SCPI, et n'en donnait aucune le 01/08/2026. Le thème annoncé n'est donc traité qu'à moitié — le niveau, pas son histoire. Constaté le 26/09/2026 en rendant vivant le contrôle de continuité.]</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Ticket d'entrée : accessible — quelques centaines d'euros suffisent pour une première part.</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Durée minimale recommandée : 10 ans (idéalement 15-20 ans pour amortir les frais d'entrée et lisser les cycles immobiliers).</w:t>
      </w:r>
    </w:p>
    <w:p>
      <w:pPr>
        <w:pBdr>
          <w:left w:val="single" w:color="1B3A6B" w:sz="12"/>
        </w:pBdr>
        <w:shd w:fill="EEF2F7" w:val="clear"/>
        <w:spacing w:after="100" w:before="100"/>
        <w:ind w:left="431" w:right="431"/>
      </w:pPr>
      <w:r>
        <w:rPr>
          <w:rFonts w:ascii="Times New Roman" w:cs="Times New Roman" w:eastAsia="Times New Roman" w:hAnsi="Times New Roman"/>
          <w:color w:val="1F2937"/>
          <w:sz w:val="22"/>
          <w:szCs w:val="22"/>
        </w:rPr>
        <w:t xml:space="preserve">⚠️ Risque de liquidité explicite (La Finance Pour Tous) : « Si le marché venait à se gripper, vous pourriez être dans l'incapacité de vendre pendant quelques mois. » Conserver des réserves liquides séparées, distinctes de la SCPI, est donc recommandé.</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4. Fiscalité de la pierre-papier</w:t>
      </w:r>
    </w:p>
    <w:p>
      <w:pPr>
        <w:spacing w:after="60" w:before="60"/>
      </w:pPr>
      <w:r>
        <w:rPr>
          <w:rFonts w:ascii="Times New Roman" w:cs="Times New Roman" w:eastAsia="Times New Roman" w:hAnsi="Times New Roman"/>
          <w:color w:val="1F2937"/>
          <w:sz w:val="22"/>
          <w:szCs w:val="22"/>
        </w:rPr>
        <w:t xml:space="preserve">Les revenus de SCPI sont traités comme des revenus fonciers ordinaires (impôt sur le revenu + prélèvements sociaux). Ce régime peut être défavorable pour les contribuables fortement imposés. En cas de détention via une assurance-vie, la fiscalité de l'enveloppe assurance-vie s'applique à la place (cf. leçon 6).</w:t>
      </w:r>
    </w:p>
    <w:p>
      <w:pPr>
        <w:spacing w:after="60" w:before="60"/>
      </w:pPr>
      <w:r>
        <w:rPr>
          <w:rFonts w:ascii="Times New Roman" w:cs="Times New Roman" w:eastAsia="Times New Roman" w:hAnsi="Times New Roman"/>
          <w:color w:val="1F2937"/>
          <w:sz w:val="22"/>
          <w:szCs w:val="22"/>
        </w:rPr>
        <w:t xml:space="preserve">Pour les SIIC (foncières cotées), les dividendes sont soumis au Prélèvement Forfaitaire Unique (PFU). Pour les taux exacts et à jour (PFU, prélèvements sociaux), consulter impots.gouv.fr — ces taux ont évolué récemment (les prélèvements sociaux sur les revenus du capital sont passés à 18,6 % au 1er janvier 2026 selon les sources sectorielles ; à vérifier sur impots.gouv.fr avant toute décision).</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Tableau comparatif des véhicules immobiliers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20%"/>
            <w:shd w:fill="1B3A6B" w:val="clear"/>
          </w:tcPr>
          <w:p>
            <w:pPr>
              <w:jc w:val="center"/>
            </w:pPr>
            <w:r>
              <w:rPr>
                <w:rFonts w:ascii="Times New Roman" w:cs="Times New Roman" w:eastAsia="Times New Roman" w:hAnsi="Times New Roman"/>
                <w:b/>
                <w:bCs/>
                <w:color w:val="FFFFFF"/>
                <w:sz w:val="20"/>
                <w:szCs w:val="20"/>
              </w:rPr>
              <w:t xml:space="preserve">Critère</w:t>
            </w:r>
          </w:p>
        </w:tc>
        <w:tc>
          <w:tcPr>
            <w:tcW w:type="pct" w:w="20%"/>
            <w:shd w:fill="1B3A6B" w:val="clear"/>
          </w:tcPr>
          <w:p>
            <w:pPr>
              <w:jc w:val="center"/>
            </w:pPr>
            <w:r>
              <w:rPr>
                <w:rFonts w:ascii="Times New Roman" w:cs="Times New Roman" w:eastAsia="Times New Roman" w:hAnsi="Times New Roman"/>
                <w:b/>
                <w:bCs/>
                <w:color w:val="FFFFFF"/>
                <w:sz w:val="20"/>
                <w:szCs w:val="20"/>
              </w:rPr>
              <w:t xml:space="preserve">Immobilier direct</w:t>
            </w:r>
          </w:p>
        </w:tc>
        <w:tc>
          <w:tcPr>
            <w:tcW w:type="pct" w:w="20%"/>
            <w:shd w:fill="1B3A6B" w:val="clear"/>
          </w:tcPr>
          <w:p>
            <w:pPr>
              <w:jc w:val="center"/>
            </w:pPr>
            <w:r>
              <w:rPr>
                <w:rFonts w:ascii="Times New Roman" w:cs="Times New Roman" w:eastAsia="Times New Roman" w:hAnsi="Times New Roman"/>
                <w:b/>
                <w:bCs/>
                <w:color w:val="FFFFFF"/>
                <w:sz w:val="20"/>
                <w:szCs w:val="20"/>
              </w:rPr>
              <w:t xml:space="preserve">SCPI</w:t>
            </w:r>
          </w:p>
        </w:tc>
        <w:tc>
          <w:tcPr>
            <w:tcW w:type="pct" w:w="20%"/>
            <w:shd w:fill="1B3A6B" w:val="clear"/>
          </w:tcPr>
          <w:p>
            <w:pPr>
              <w:jc w:val="center"/>
            </w:pPr>
            <w:r>
              <w:rPr>
                <w:rFonts w:ascii="Times New Roman" w:cs="Times New Roman" w:eastAsia="Times New Roman" w:hAnsi="Times New Roman"/>
                <w:b/>
                <w:bCs/>
                <w:color w:val="FFFFFF"/>
                <w:sz w:val="20"/>
                <w:szCs w:val="20"/>
              </w:rPr>
              <w:t xml:space="preserve">OPCI</w:t>
            </w:r>
          </w:p>
        </w:tc>
        <w:tc>
          <w:tcPr>
            <w:tcW w:type="pct" w:w="20%"/>
            <w:shd w:fill="1B3A6B" w:val="clear"/>
          </w:tcPr>
          <w:p>
            <w:pPr>
              <w:jc w:val="center"/>
            </w:pPr>
            <w:r>
              <w:rPr>
                <w:rFonts w:ascii="Times New Roman" w:cs="Times New Roman" w:eastAsia="Times New Roman" w:hAnsi="Times New Roman"/>
                <w:b/>
                <w:bCs/>
                <w:color w:val="FFFFFF"/>
                <w:sz w:val="20"/>
                <w:szCs w:val="20"/>
              </w:rPr>
              <w:t xml:space="preserve">SIIC (foncière cotée)</w:t>
            </w:r>
          </w:p>
        </w:tc>
      </w:tr>
      <w:tr>
        <w:tc>
          <w:tcPr>
            <w:tcW w:type="pct" w:w="20%"/>
            <w:shd w:fill="FFFFFF" w:val="clear"/>
          </w:tcPr>
          <w:p>
            <w:pPr>
              <w:jc w:val="center"/>
            </w:pPr>
            <w:r>
              <w:rPr>
                <w:rFonts w:ascii="Times New Roman" w:cs="Times New Roman" w:eastAsia="Times New Roman" w:hAnsi="Times New Roman"/>
                <w:color w:val="1F2937"/>
                <w:sz w:val="20"/>
                <w:szCs w:val="20"/>
              </w:rPr>
              <w:t xml:space="preserve">Ticket d'entrée</w:t>
            </w:r>
          </w:p>
        </w:tc>
        <w:tc>
          <w:tcPr>
            <w:tcW w:type="pct" w:w="20%"/>
            <w:shd w:fill="FFFFFF" w:val="clear"/>
          </w:tcPr>
          <w:p>
            <w:pPr>
              <w:jc w:val="center"/>
            </w:pPr>
            <w:r>
              <w:rPr>
                <w:rFonts w:ascii="Times New Roman" w:cs="Times New Roman" w:eastAsia="Times New Roman" w:hAnsi="Times New Roman"/>
                <w:color w:val="1F2937"/>
                <w:sz w:val="20"/>
                <w:szCs w:val="20"/>
              </w:rPr>
              <w:t xml:space="preserve">Élevé (≥ 100 000 €)</w:t>
            </w:r>
          </w:p>
        </w:tc>
        <w:tc>
          <w:tcPr>
            <w:tcW w:type="pct" w:w="20%"/>
            <w:shd w:fill="FFFFFF" w:val="clear"/>
          </w:tcPr>
          <w:p>
            <w:pPr>
              <w:jc w:val="center"/>
            </w:pPr>
            <w:r>
              <w:rPr>
                <w:rFonts w:ascii="Times New Roman" w:cs="Times New Roman" w:eastAsia="Times New Roman" w:hAnsi="Times New Roman"/>
                <w:color w:val="1F2937"/>
                <w:sz w:val="20"/>
                <w:szCs w:val="20"/>
              </w:rPr>
              <w:t xml:space="preserve">Quelques centaines €</w:t>
            </w:r>
          </w:p>
        </w:tc>
        <w:tc>
          <w:tcPr>
            <w:tcW w:type="pct" w:w="20%"/>
            <w:shd w:fill="FFFFFF" w:val="clear"/>
          </w:tcPr>
          <w:p>
            <w:pPr>
              <w:jc w:val="center"/>
            </w:pPr>
            <w:r>
              <w:rPr>
                <w:rFonts w:ascii="Times New Roman" w:cs="Times New Roman" w:eastAsia="Times New Roman" w:hAnsi="Times New Roman"/>
                <w:color w:val="1F2937"/>
                <w:sz w:val="20"/>
                <w:szCs w:val="20"/>
              </w:rPr>
              <w:t xml:space="preserve">Quelques centaines €</w:t>
            </w:r>
          </w:p>
        </w:tc>
        <w:tc>
          <w:tcPr>
            <w:tcW w:type="pct" w:w="20%"/>
            <w:shd w:fill="FFFFFF" w:val="clear"/>
          </w:tcPr>
          <w:p>
            <w:pPr>
              <w:jc w:val="center"/>
            </w:pPr>
            <w:r>
              <w:rPr>
                <w:rFonts w:ascii="Times New Roman" w:cs="Times New Roman" w:eastAsia="Times New Roman" w:hAnsi="Times New Roman"/>
                <w:color w:val="1F2937"/>
                <w:sz w:val="20"/>
                <w:szCs w:val="20"/>
              </w:rPr>
              <w:t xml:space="preserve">Prix d'une action</w:t>
            </w:r>
          </w:p>
        </w:tc>
      </w:tr>
      <w:tr>
        <w:tc>
          <w:tcPr>
            <w:tcW w:type="pct" w:w="20%"/>
            <w:shd w:fill="EEF2F7" w:val="clear"/>
          </w:tcPr>
          <w:p>
            <w:pPr>
              <w:jc w:val="center"/>
            </w:pPr>
            <w:r>
              <w:rPr>
                <w:rFonts w:ascii="Times New Roman" w:cs="Times New Roman" w:eastAsia="Times New Roman" w:hAnsi="Times New Roman"/>
                <w:color w:val="1F2937"/>
                <w:sz w:val="20"/>
                <w:szCs w:val="20"/>
              </w:rPr>
              <w:t xml:space="preserve">Liquidité</w:t>
            </w:r>
          </w:p>
        </w:tc>
        <w:tc>
          <w:tcPr>
            <w:tcW w:type="pct" w:w="20%"/>
            <w:shd w:fill="EEF2F7" w:val="clear"/>
          </w:tcPr>
          <w:p>
            <w:pPr>
              <w:jc w:val="center"/>
            </w:pPr>
            <w:r>
              <w:rPr>
                <w:rFonts w:ascii="Times New Roman" w:cs="Times New Roman" w:eastAsia="Times New Roman" w:hAnsi="Times New Roman"/>
                <w:color w:val="1F2937"/>
                <w:sz w:val="20"/>
                <w:szCs w:val="20"/>
              </w:rPr>
              <w:t xml:space="preserve">Faible (mois/années)</w:t>
            </w:r>
          </w:p>
        </w:tc>
        <w:tc>
          <w:tcPr>
            <w:tcW w:type="pct" w:w="20%"/>
            <w:shd w:fill="EEF2F7" w:val="clear"/>
          </w:tcPr>
          <w:p>
            <w:pPr>
              <w:jc w:val="center"/>
            </w:pPr>
            <w:r>
              <w:rPr>
                <w:rFonts w:ascii="Times New Roman" w:cs="Times New Roman" w:eastAsia="Times New Roman" w:hAnsi="Times New Roman"/>
                <w:color w:val="1F2937"/>
                <w:sz w:val="20"/>
                <w:szCs w:val="20"/>
              </w:rPr>
              <w:t xml:space="preserve">Faible (mois)</w:t>
            </w:r>
          </w:p>
        </w:tc>
        <w:tc>
          <w:tcPr>
            <w:tcW w:type="pct" w:w="20%"/>
            <w:shd w:fill="EEF2F7" w:val="clear"/>
          </w:tcPr>
          <w:p>
            <w:pPr>
              <w:jc w:val="center"/>
            </w:pPr>
            <w:r>
              <w:rPr>
                <w:rFonts w:ascii="Times New Roman" w:cs="Times New Roman" w:eastAsia="Times New Roman" w:hAnsi="Times New Roman"/>
                <w:color w:val="1F2937"/>
                <w:sz w:val="20"/>
                <w:szCs w:val="20"/>
              </w:rPr>
              <w:t xml:space="preserve">Moyenne (10% actifs liq.)</w:t>
            </w:r>
          </w:p>
        </w:tc>
        <w:tc>
          <w:tcPr>
            <w:tcW w:type="pct" w:w="20%"/>
            <w:shd w:fill="EEF2F7" w:val="clear"/>
          </w:tcPr>
          <w:p>
            <w:pPr>
              <w:jc w:val="center"/>
            </w:pPr>
            <w:r>
              <w:rPr>
                <w:rFonts w:ascii="Times New Roman" w:cs="Times New Roman" w:eastAsia="Times New Roman" w:hAnsi="Times New Roman"/>
                <w:color w:val="1F2937"/>
                <w:sz w:val="20"/>
                <w:szCs w:val="20"/>
              </w:rPr>
              <w:t xml:space="preserve">Élevée (marché boursier)</w:t>
            </w:r>
          </w:p>
        </w:tc>
      </w:tr>
      <w:tr>
        <w:tc>
          <w:tcPr>
            <w:tcW w:type="pct" w:w="20%"/>
            <w:shd w:fill="FFFFFF" w:val="clear"/>
          </w:tcPr>
          <w:p>
            <w:pPr>
              <w:jc w:val="center"/>
            </w:pPr>
            <w:r>
              <w:rPr>
                <w:rFonts w:ascii="Times New Roman" w:cs="Times New Roman" w:eastAsia="Times New Roman" w:hAnsi="Times New Roman"/>
                <w:color w:val="1F2937"/>
                <w:sz w:val="20"/>
                <w:szCs w:val="20"/>
              </w:rPr>
              <w:t xml:space="preserve">Frais d'entrée</w:t>
            </w:r>
          </w:p>
        </w:tc>
        <w:tc>
          <w:tcPr>
            <w:tcW w:type="pct" w:w="20%"/>
            <w:shd w:fill="FFFFFF" w:val="clear"/>
          </w:tcPr>
          <w:p>
            <w:pPr>
              <w:jc w:val="center"/>
            </w:pPr>
            <w:r>
              <w:rPr>
                <w:rFonts w:ascii="Times New Roman" w:cs="Times New Roman" w:eastAsia="Times New Roman" w:hAnsi="Times New Roman"/>
                <w:color w:val="1F2937"/>
                <w:sz w:val="20"/>
                <w:szCs w:val="20"/>
              </w:rPr>
              <w:t xml:space="preserve">Notaire ~7-8%</w:t>
            </w:r>
          </w:p>
        </w:tc>
        <w:tc>
          <w:tcPr>
            <w:tcW w:type="pct" w:w="20%"/>
            <w:shd w:fill="FFFFFF" w:val="clear"/>
          </w:tcPr>
          <w:p>
            <w:pPr>
              <w:jc w:val="center"/>
            </w:pPr>
            <w:r>
              <w:rPr>
                <w:rFonts w:ascii="Times New Roman" w:cs="Times New Roman" w:eastAsia="Times New Roman" w:hAnsi="Times New Roman"/>
                <w:color w:val="1F2937"/>
                <w:sz w:val="20"/>
                <w:szCs w:val="20"/>
              </w:rPr>
              <w:t xml:space="preserve">6% à 12%</w:t>
            </w:r>
          </w:p>
        </w:tc>
        <w:tc>
          <w:tcPr>
            <w:tcW w:type="pct" w:w="20%"/>
            <w:shd w:fill="FFFFFF" w:val="clear"/>
          </w:tcPr>
          <w:p>
            <w:pPr>
              <w:jc w:val="center"/>
            </w:pPr>
            <w:r>
              <w:rPr>
                <w:rFonts w:ascii="Times New Roman" w:cs="Times New Roman" w:eastAsia="Times New Roman" w:hAnsi="Times New Roman"/>
                <w:color w:val="1F2937"/>
                <w:sz w:val="20"/>
                <w:szCs w:val="20"/>
              </w:rPr>
              <w:t xml:space="preserve">Souvent &lt; 5%</w:t>
            </w:r>
          </w:p>
        </w:tc>
        <w:tc>
          <w:tcPr>
            <w:tcW w:type="pct" w:w="20%"/>
            <w:shd w:fill="FFFFFF" w:val="clear"/>
          </w:tcPr>
          <w:p>
            <w:pPr>
              <w:jc w:val="center"/>
            </w:pPr>
            <w:r>
              <w:rPr>
                <w:rFonts w:ascii="Times New Roman" w:cs="Times New Roman" w:eastAsia="Times New Roman" w:hAnsi="Times New Roman"/>
                <w:color w:val="1F2937"/>
                <w:sz w:val="20"/>
                <w:szCs w:val="20"/>
              </w:rPr>
              <w:t xml:space="preserve">Frais courtage uniquement</w:t>
            </w:r>
          </w:p>
        </w:tc>
      </w:tr>
      <w:tr>
        <w:tc>
          <w:tcPr>
            <w:tcW w:type="pct" w:w="20%"/>
            <w:shd w:fill="EEF2F7" w:val="clear"/>
          </w:tcPr>
          <w:p>
            <w:pPr>
              <w:jc w:val="center"/>
            </w:pPr>
            <w:r>
              <w:rPr>
                <w:rFonts w:ascii="Times New Roman" w:cs="Times New Roman" w:eastAsia="Times New Roman" w:hAnsi="Times New Roman"/>
                <w:color w:val="1F2937"/>
                <w:sz w:val="20"/>
                <w:szCs w:val="20"/>
              </w:rPr>
              <w:t xml:space="preserve">Frais de gestion</w:t>
            </w:r>
          </w:p>
        </w:tc>
        <w:tc>
          <w:tcPr>
            <w:tcW w:type="pct" w:w="20%"/>
            <w:shd w:fill="EEF2F7" w:val="clear"/>
          </w:tcPr>
          <w:p>
            <w:pPr>
              <w:jc w:val="center"/>
            </w:pPr>
            <w:r>
              <w:rPr>
                <w:rFonts w:ascii="Times New Roman" w:cs="Times New Roman" w:eastAsia="Times New Roman" w:hAnsi="Times New Roman"/>
                <w:color w:val="1F2937"/>
                <w:sz w:val="20"/>
                <w:szCs w:val="20"/>
              </w:rPr>
              <w:t xml:space="preserve">Agence ou soi-même</w:t>
            </w:r>
          </w:p>
        </w:tc>
        <w:tc>
          <w:tcPr>
            <w:tcW w:type="pct" w:w="20%"/>
            <w:shd w:fill="EEF2F7" w:val="clear"/>
          </w:tcPr>
          <w:p>
            <w:pPr>
              <w:jc w:val="center"/>
            </w:pPr>
            <w:r>
              <w:rPr>
                <w:rFonts w:ascii="Times New Roman" w:cs="Times New Roman" w:eastAsia="Times New Roman" w:hAnsi="Times New Roman"/>
                <w:color w:val="1F2937"/>
                <w:sz w:val="20"/>
                <w:szCs w:val="20"/>
              </w:rPr>
              <w:t xml:space="preserve">6% à 10%/an</w:t>
            </w:r>
          </w:p>
        </w:tc>
        <w:tc>
          <w:tcPr>
            <w:tcW w:type="pct" w:w="20%"/>
            <w:shd w:fill="EEF2F7" w:val="clear"/>
          </w:tcPr>
          <w:p>
            <w:pPr>
              <w:jc w:val="center"/>
            </w:pPr>
            <w:r>
              <w:rPr>
                <w:rFonts w:ascii="Times New Roman" w:cs="Times New Roman" w:eastAsia="Times New Roman" w:hAnsi="Times New Roman"/>
                <w:color w:val="1F2937"/>
                <w:sz w:val="20"/>
                <w:szCs w:val="20"/>
              </w:rPr>
              <w:t xml:space="preserve">Variable</w:t>
            </w:r>
          </w:p>
        </w:tc>
        <w:tc>
          <w:tcPr>
            <w:tcW w:type="pct" w:w="20%"/>
            <w:shd w:fill="EEF2F7" w:val="clear"/>
          </w:tcPr>
          <w:p>
            <w:pPr>
              <w:jc w:val="center"/>
            </w:pPr>
            <w:r>
              <w:rPr>
                <w:rFonts w:ascii="Times New Roman" w:cs="Times New Roman" w:eastAsia="Times New Roman" w:hAnsi="Times New Roman"/>
                <w:color w:val="1F2937"/>
                <w:sz w:val="20"/>
                <w:szCs w:val="20"/>
              </w:rPr>
              <w:t xml:space="preserve">Inclus dans cours</w:t>
            </w:r>
          </w:p>
        </w:tc>
      </w:tr>
      <w:tr>
        <w:tc>
          <w:tcPr>
            <w:tcW w:type="pct" w:w="20%"/>
            <w:shd w:fill="FFFFFF" w:val="clear"/>
          </w:tcPr>
          <w:p>
            <w:pPr>
              <w:jc w:val="center"/>
            </w:pPr>
            <w:r>
              <w:rPr>
                <w:rFonts w:ascii="Times New Roman" w:cs="Times New Roman" w:eastAsia="Times New Roman" w:hAnsi="Times New Roman"/>
                <w:color w:val="1F2937"/>
                <w:sz w:val="20"/>
                <w:szCs w:val="20"/>
              </w:rPr>
              <w:t xml:space="preserve">Gestion</w:t>
            </w:r>
          </w:p>
        </w:tc>
        <w:tc>
          <w:tcPr>
            <w:tcW w:type="pct" w:w="20%"/>
            <w:shd w:fill="FFFFFF" w:val="clear"/>
          </w:tcPr>
          <w:p>
            <w:pPr>
              <w:jc w:val="center"/>
            </w:pPr>
            <w:r>
              <w:rPr>
                <w:rFonts w:ascii="Times New Roman" w:cs="Times New Roman" w:eastAsia="Times New Roman" w:hAnsi="Times New Roman"/>
                <w:color w:val="1F2937"/>
                <w:sz w:val="20"/>
                <w:szCs w:val="20"/>
              </w:rPr>
              <w:t xml:space="preserve">Personnelle</w:t>
            </w:r>
          </w:p>
        </w:tc>
        <w:tc>
          <w:tcPr>
            <w:tcW w:type="pct" w:w="20%"/>
            <w:shd w:fill="FFFFFF" w:val="clear"/>
          </w:tcPr>
          <w:p>
            <w:pPr>
              <w:jc w:val="center"/>
            </w:pPr>
            <w:r>
              <w:rPr>
                <w:rFonts w:ascii="Times New Roman" w:cs="Times New Roman" w:eastAsia="Times New Roman" w:hAnsi="Times New Roman"/>
                <w:color w:val="1F2937"/>
                <w:sz w:val="20"/>
                <w:szCs w:val="20"/>
              </w:rPr>
              <w:t xml:space="preserve">Totalement déléguée</w:t>
            </w:r>
          </w:p>
        </w:tc>
        <w:tc>
          <w:tcPr>
            <w:tcW w:type="pct" w:w="20%"/>
            <w:shd w:fill="FFFFFF" w:val="clear"/>
          </w:tcPr>
          <w:p>
            <w:pPr>
              <w:jc w:val="center"/>
            </w:pPr>
            <w:r>
              <w:rPr>
                <w:rFonts w:ascii="Times New Roman" w:cs="Times New Roman" w:eastAsia="Times New Roman" w:hAnsi="Times New Roman"/>
                <w:color w:val="1F2937"/>
                <w:sz w:val="20"/>
                <w:szCs w:val="20"/>
              </w:rPr>
              <w:t xml:space="preserve">Totalement déléguée</w:t>
            </w:r>
          </w:p>
        </w:tc>
        <w:tc>
          <w:tcPr>
            <w:tcW w:type="pct" w:w="20%"/>
            <w:shd w:fill="FFFFFF" w:val="clear"/>
          </w:tcPr>
          <w:p>
            <w:pPr>
              <w:jc w:val="center"/>
            </w:pPr>
            <w:r>
              <w:rPr>
                <w:rFonts w:ascii="Times New Roman" w:cs="Times New Roman" w:eastAsia="Times New Roman" w:hAnsi="Times New Roman"/>
                <w:color w:val="1F2937"/>
                <w:sz w:val="20"/>
                <w:szCs w:val="20"/>
              </w:rPr>
              <w:t xml:space="preserve">Totalement déléguée</w:t>
            </w:r>
          </w:p>
        </w:tc>
      </w:tr>
      <w:tr>
        <w:tc>
          <w:tcPr>
            <w:tcW w:type="pct" w:w="20%"/>
            <w:shd w:fill="EEF2F7" w:val="clear"/>
          </w:tcPr>
          <w:p>
            <w:pPr>
              <w:jc w:val="center"/>
            </w:pPr>
            <w:r>
              <w:rPr>
                <w:rFonts w:ascii="Times New Roman" w:cs="Times New Roman" w:eastAsia="Times New Roman" w:hAnsi="Times New Roman"/>
                <w:color w:val="1F2937"/>
                <w:sz w:val="20"/>
                <w:szCs w:val="20"/>
              </w:rPr>
              <w:t xml:space="preserve">Volatilité</w:t>
            </w:r>
          </w:p>
        </w:tc>
        <w:tc>
          <w:tcPr>
            <w:tcW w:type="pct" w:w="20%"/>
            <w:shd w:fill="EEF2F7" w:val="clear"/>
          </w:tcPr>
          <w:p>
            <w:pPr>
              <w:jc w:val="center"/>
            </w:pPr>
            <w:r>
              <w:rPr>
                <w:rFonts w:ascii="Times New Roman" w:cs="Times New Roman" w:eastAsia="Times New Roman" w:hAnsi="Times New Roman"/>
                <w:color w:val="1F2937"/>
                <w:sz w:val="20"/>
                <w:szCs w:val="20"/>
              </w:rPr>
              <w:t xml:space="preserve">Faible (prix mensuels)</w:t>
            </w:r>
          </w:p>
        </w:tc>
        <w:tc>
          <w:tcPr>
            <w:tcW w:type="pct" w:w="20%"/>
            <w:shd w:fill="EEF2F7" w:val="clear"/>
          </w:tcPr>
          <w:p>
            <w:pPr>
              <w:jc w:val="center"/>
            </w:pPr>
            <w:r>
              <w:rPr>
                <w:rFonts w:ascii="Times New Roman" w:cs="Times New Roman" w:eastAsia="Times New Roman" w:hAnsi="Times New Roman"/>
                <w:color w:val="1F2937"/>
                <w:sz w:val="20"/>
                <w:szCs w:val="20"/>
              </w:rPr>
              <w:t xml:space="preserve">Faible (prix trimestriels)</w:t>
            </w:r>
          </w:p>
        </w:tc>
        <w:tc>
          <w:tcPr>
            <w:tcW w:type="pct" w:w="20%"/>
            <w:shd w:fill="EEF2F7" w:val="clear"/>
          </w:tcPr>
          <w:p>
            <w:pPr>
              <w:jc w:val="center"/>
            </w:pPr>
            <w:r>
              <w:rPr>
                <w:rFonts w:ascii="Times New Roman" w:cs="Times New Roman" w:eastAsia="Times New Roman" w:hAnsi="Times New Roman"/>
                <w:color w:val="1F2937"/>
                <w:sz w:val="20"/>
                <w:szCs w:val="20"/>
              </w:rPr>
              <w:t xml:space="preserve">Modérée</w:t>
            </w:r>
          </w:p>
        </w:tc>
        <w:tc>
          <w:tcPr>
            <w:tcW w:type="pct" w:w="20%"/>
            <w:shd w:fill="EEF2F7" w:val="clear"/>
          </w:tcPr>
          <w:p>
            <w:pPr>
              <w:jc w:val="center"/>
            </w:pPr>
            <w:r>
              <w:rPr>
                <w:rFonts w:ascii="Times New Roman" w:cs="Times New Roman" w:eastAsia="Times New Roman" w:hAnsi="Times New Roman"/>
                <w:color w:val="1F2937"/>
                <w:sz w:val="20"/>
                <w:szCs w:val="20"/>
              </w:rPr>
              <w:t xml:space="preserve">Haute (bourse)</w:t>
            </w:r>
          </w:p>
        </w:tc>
      </w:tr>
      <w:tr>
        <w:tc>
          <w:tcPr>
            <w:tcW w:type="pct" w:w="20%"/>
            <w:shd w:fill="FFFFFF" w:val="clear"/>
          </w:tcPr>
          <w:p>
            <w:pPr>
              <w:jc w:val="center"/>
            </w:pPr>
            <w:r>
              <w:rPr>
                <w:rFonts w:ascii="Times New Roman" w:cs="Times New Roman" w:eastAsia="Times New Roman" w:hAnsi="Times New Roman"/>
                <w:color w:val="1F2937"/>
                <w:sz w:val="20"/>
                <w:szCs w:val="20"/>
              </w:rPr>
              <w:t xml:space="preserve">Fiscalité revenus</w:t>
            </w:r>
          </w:p>
        </w:tc>
        <w:tc>
          <w:tcPr>
            <w:tcW w:type="pct" w:w="20%"/>
            <w:shd w:fill="FFFFFF" w:val="clear"/>
          </w:tcPr>
          <w:p>
            <w:pPr>
              <w:jc w:val="center"/>
            </w:pPr>
            <w:r>
              <w:rPr>
                <w:rFonts w:ascii="Times New Roman" w:cs="Times New Roman" w:eastAsia="Times New Roman" w:hAnsi="Times New Roman"/>
                <w:color w:val="1F2937"/>
                <w:sz w:val="20"/>
                <w:szCs w:val="20"/>
              </w:rPr>
              <w:t xml:space="preserve">Revenus fonciers</w:t>
            </w:r>
          </w:p>
        </w:tc>
        <w:tc>
          <w:tcPr>
            <w:tcW w:type="pct" w:w="20%"/>
            <w:shd w:fill="FFFFFF" w:val="clear"/>
          </w:tcPr>
          <w:p>
            <w:pPr>
              <w:jc w:val="center"/>
            </w:pPr>
            <w:r>
              <w:rPr>
                <w:rFonts w:ascii="Times New Roman" w:cs="Times New Roman" w:eastAsia="Times New Roman" w:hAnsi="Times New Roman"/>
                <w:color w:val="1F2937"/>
                <w:sz w:val="20"/>
                <w:szCs w:val="20"/>
              </w:rPr>
              <w:t xml:space="preserve">Revenus fonciers</w:t>
            </w:r>
          </w:p>
        </w:tc>
        <w:tc>
          <w:tcPr>
            <w:tcW w:type="pct" w:w="20%"/>
            <w:shd w:fill="FFFFFF" w:val="clear"/>
          </w:tcPr>
          <w:p>
            <w:pPr>
              <w:jc w:val="center"/>
            </w:pPr>
            <w:r>
              <w:rPr>
                <w:rFonts w:ascii="Times New Roman" w:cs="Times New Roman" w:eastAsia="Times New Roman" w:hAnsi="Times New Roman"/>
                <w:color w:val="1F2937"/>
                <w:sz w:val="20"/>
                <w:szCs w:val="20"/>
              </w:rPr>
              <w:t xml:space="preserve">Mixte foncier/financier</w:t>
            </w:r>
          </w:p>
        </w:tc>
        <w:tc>
          <w:tcPr>
            <w:tcW w:type="pct" w:w="20%"/>
            <w:shd w:fill="FFFFFF" w:val="clear"/>
          </w:tcPr>
          <w:p>
            <w:pPr>
              <w:jc w:val="center"/>
            </w:pPr>
            <w:r>
              <w:rPr>
                <w:rFonts w:ascii="Times New Roman" w:cs="Times New Roman" w:eastAsia="Times New Roman" w:hAnsi="Times New Roman"/>
                <w:color w:val="1F2937"/>
                <w:sz w:val="20"/>
                <w:szCs w:val="20"/>
              </w:rPr>
              <w:t xml:space="preserve">Dividendes (PFU/IR)</w:t>
            </w:r>
          </w:p>
        </w:tc>
      </w:tr>
      <w:tr>
        <w:tc>
          <w:tcPr>
            <w:tcW w:type="pct" w:w="20%"/>
            <w:shd w:fill="EEF2F7" w:val="clear"/>
          </w:tcPr>
          <w:p>
            <w:pPr>
              <w:jc w:val="center"/>
            </w:pPr>
            <w:r>
              <w:rPr>
                <w:rFonts w:ascii="Times New Roman" w:cs="Times New Roman" w:eastAsia="Times New Roman" w:hAnsi="Times New Roman"/>
                <w:color w:val="1F2937"/>
                <w:sz w:val="20"/>
                <w:szCs w:val="20"/>
              </w:rPr>
              <w:t xml:space="preserve">Horizon recommandé</w:t>
            </w:r>
          </w:p>
        </w:tc>
        <w:tc>
          <w:tcPr>
            <w:tcW w:type="pct" w:w="20%"/>
            <w:shd w:fill="EEF2F7" w:val="clear"/>
          </w:tcPr>
          <w:p>
            <w:pPr>
              <w:jc w:val="center"/>
            </w:pPr>
            <w:r>
              <w:rPr>
                <w:rFonts w:ascii="Times New Roman" w:cs="Times New Roman" w:eastAsia="Times New Roman" w:hAnsi="Times New Roman"/>
                <w:color w:val="1F2937"/>
                <w:sz w:val="20"/>
                <w:szCs w:val="20"/>
              </w:rPr>
              <w:t xml:space="preserve">≥ 10 ans</w:t>
            </w:r>
          </w:p>
        </w:tc>
        <w:tc>
          <w:tcPr>
            <w:tcW w:type="pct" w:w="20%"/>
            <w:shd w:fill="EEF2F7" w:val="clear"/>
          </w:tcPr>
          <w:p>
            <w:pPr>
              <w:jc w:val="center"/>
            </w:pPr>
            <w:r>
              <w:rPr>
                <w:rFonts w:ascii="Times New Roman" w:cs="Times New Roman" w:eastAsia="Times New Roman" w:hAnsi="Times New Roman"/>
                <w:color w:val="1F2937"/>
                <w:sz w:val="20"/>
                <w:szCs w:val="20"/>
              </w:rPr>
              <w:t xml:space="preserve">10-20 ans minimum</w:t>
            </w:r>
          </w:p>
        </w:tc>
        <w:tc>
          <w:tcPr>
            <w:tcW w:type="pct" w:w="20%"/>
            <w:shd w:fill="EEF2F7" w:val="clear"/>
          </w:tcPr>
          <w:p>
            <w:pPr>
              <w:jc w:val="center"/>
            </w:pPr>
            <w:r>
              <w:rPr>
                <w:rFonts w:ascii="Times New Roman" w:cs="Times New Roman" w:eastAsia="Times New Roman" w:hAnsi="Times New Roman"/>
                <w:color w:val="1F2937"/>
                <w:sz w:val="20"/>
                <w:szCs w:val="20"/>
              </w:rPr>
              <w:t xml:space="preserve">8-10 ans minimum</w:t>
            </w:r>
          </w:p>
        </w:tc>
        <w:tc>
          <w:tcPr>
            <w:tcW w:type="pct" w:w="20%"/>
            <w:shd w:fill="EEF2F7" w:val="clear"/>
          </w:tcPr>
          <w:p>
            <w:pPr>
              <w:jc w:val="center"/>
            </w:pPr>
            <w:r>
              <w:rPr>
                <w:rFonts w:ascii="Times New Roman" w:cs="Times New Roman" w:eastAsia="Times New Roman" w:hAnsi="Times New Roman"/>
                <w:color w:val="1F2937"/>
                <w:sz w:val="20"/>
                <w:szCs w:val="20"/>
              </w:rPr>
              <w:t xml:space="preserve">Selon stratégie</w:t>
            </w:r>
          </w:p>
        </w:tc>
      </w:tr>
    </w:tbl>
    <w:p>
      <w:pPr>
        <w:spacing w:after="120" w:before="60"/>
      </w:pPr>
      <w:r>
        <w:rPr>
          <w:rFonts w:ascii="Times New Roman" w:cs="Times New Roman" w:eastAsia="Times New Roman" w:hAnsi="Times New Roman"/>
          <w:i/>
          <w:iCs/>
          <w:color w:val="1F2937"/>
          <w:sz w:val="18"/>
          <w:szCs w:val="18"/>
        </w:rPr>
        <w:t xml:space="preserve">Sources : La Finance Pour Tous (lafinancepourtous.com), AMF (amf-france.org). Tableau synthétique — voir les pages sources pour les détails.</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Pratique (80%)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Calculer le « coût réel » des frais de SCPI</w:t>
      </w:r>
    </w:p>
    <w:p>
      <w:pPr>
        <w:spacing w:after="60" w:before="60"/>
      </w:pPr>
      <w:r>
        <w:rPr>
          <w:rFonts w:ascii="Times New Roman" w:cs="Times New Roman" w:eastAsia="Times New Roman" w:hAnsi="Times New Roman"/>
          <w:color w:val="1F2937"/>
          <w:sz w:val="22"/>
          <w:szCs w:val="22"/>
        </w:rPr>
        <w:t xml:space="preserve">Objectif : comprendre concrètement l'impact des frais d'entrée et de gestion sur la rentabilité réelle.</w:t>
      </w:r>
    </w:p>
    <w:p>
      <w:pPr>
        <w:spacing w:after="60" w:before="60"/>
      </w:pPr>
      <w:r>
        <w:rPr>
          <w:rFonts w:ascii="Times New Roman" w:cs="Times New Roman" w:eastAsia="Times New Roman" w:hAnsi="Times New Roman"/>
          <w:color w:val="1F2937"/>
          <w:sz w:val="22"/>
          <w:szCs w:val="22"/>
        </w:rPr>
        <w:t xml:space="preserve">Données de l'exercice (hypothétiques, à titre pédagogique uniquement)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Investissement : 10 000 €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Frais d'entrée : 8 % (dans la fourchette 6-12 % indiquée par La Finance Pour Tous)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Rendement annuel brut : 4,5 %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Frais de gestion : 8 % des loyers perçus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Horizon : 10 ans</w:t>
      </w:r>
    </w:p>
    <w:p>
      <w:pPr>
        <w:spacing w:after="120" w:before="120"/>
      </w:pPr>
    </w:p>
    <w:p>
      <w:pPr>
        <w:spacing w:after="60" w:before="60"/>
      </w:pPr>
      <w:r>
        <w:rPr>
          <w:rFonts w:ascii="Times New Roman" w:cs="Times New Roman" w:eastAsia="Times New Roman" w:hAnsi="Times New Roman"/>
          <w:color w:val="1F2937"/>
          <w:sz w:val="22"/>
          <w:szCs w:val="22"/>
        </w:rPr>
        <w:t xml:space="preserve">Questions :</w:t>
      </w:r>
    </w:p>
    <w:p>
      <w:pPr>
        <w:spacing w:after="40" w:before="40"/>
        <w:ind w:left="360"/>
      </w:pPr>
      <w:r>
        <w:rPr>
          <w:rFonts w:ascii="Times New Roman" w:cs="Times New Roman" w:eastAsia="Times New Roman" w:hAnsi="Times New Roman"/>
          <w:b/>
          <w:bCs/>
          <w:color w:val="1B3A6B"/>
          <w:sz w:val="22"/>
          <w:szCs w:val="22"/>
        </w:rPr>
        <w:t xml:space="preserve">A. </w:t>
      </w:r>
      <w:r>
        <w:rPr>
          <w:rFonts w:ascii="Times New Roman" w:cs="Times New Roman" w:eastAsia="Times New Roman" w:hAnsi="Times New Roman"/>
          <w:color w:val="1F2937"/>
          <w:sz w:val="22"/>
          <w:szCs w:val="22"/>
        </w:rPr>
        <w:t xml:space="preserve">Quel montant est effectivement investi en immobilier après déduction des frais d'entrée ?</w:t>
      </w:r>
    </w:p>
    <w:p>
      <w:pPr>
        <w:spacing w:after="40" w:before="40"/>
        <w:ind w:left="360"/>
      </w:pPr>
      <w:r>
        <w:rPr>
          <w:rFonts w:ascii="Times New Roman" w:cs="Times New Roman" w:eastAsia="Times New Roman" w:hAnsi="Times New Roman"/>
          <w:b/>
          <w:bCs/>
          <w:color w:val="1B3A6B"/>
          <w:sz w:val="22"/>
          <w:szCs w:val="22"/>
        </w:rPr>
        <w:t xml:space="preserve">B. </w:t>
      </w:r>
      <w:r>
        <w:rPr>
          <w:rFonts w:ascii="Times New Roman" w:cs="Times New Roman" w:eastAsia="Times New Roman" w:hAnsi="Times New Roman"/>
          <w:color w:val="1F2937"/>
          <w:sz w:val="22"/>
          <w:szCs w:val="22"/>
        </w:rPr>
        <w:t xml:space="preserve">Quel revenu annuel brut (en €) génère ce capital investi au taux de 4,5 % ?</w:t>
      </w:r>
    </w:p>
    <w:p>
      <w:pPr>
        <w:spacing w:after="40" w:before="40"/>
        <w:ind w:left="360"/>
      </w:pPr>
      <w:r>
        <w:rPr>
          <w:rFonts w:ascii="Times New Roman" w:cs="Times New Roman" w:eastAsia="Times New Roman" w:hAnsi="Times New Roman"/>
          <w:b/>
          <w:bCs/>
          <w:color w:val="1B3A6B"/>
          <w:sz w:val="22"/>
          <w:szCs w:val="22"/>
        </w:rPr>
        <w:t xml:space="preserve">C. </w:t>
      </w:r>
      <w:r>
        <w:rPr>
          <w:rFonts w:ascii="Times New Roman" w:cs="Times New Roman" w:eastAsia="Times New Roman" w:hAnsi="Times New Roman"/>
          <w:color w:val="1F2937"/>
          <w:sz w:val="22"/>
          <w:szCs w:val="22"/>
        </w:rPr>
        <w:t xml:space="preserve">Quel revenu annuel net de frais de gestion (8 % du revenu brut) te reste-t-il ?</w:t>
      </w:r>
    </w:p>
    <w:p>
      <w:pPr>
        <w:spacing w:after="40" w:before="40"/>
        <w:ind w:left="360"/>
      </w:pPr>
      <w:r>
        <w:rPr>
          <w:rFonts w:ascii="Times New Roman" w:cs="Times New Roman" w:eastAsia="Times New Roman" w:hAnsi="Times New Roman"/>
          <w:b/>
          <w:bCs/>
          <w:color w:val="1B3A6B"/>
          <w:sz w:val="22"/>
          <w:szCs w:val="22"/>
        </w:rPr>
        <w:t xml:space="preserve">D. </w:t>
      </w:r>
      <w:r>
        <w:rPr>
          <w:rFonts w:ascii="Times New Roman" w:cs="Times New Roman" w:eastAsia="Times New Roman" w:hAnsi="Times New Roman"/>
          <w:color w:val="1F2937"/>
          <w:sz w:val="22"/>
          <w:szCs w:val="22"/>
        </w:rPr>
        <w:t xml:space="preserve">Sur 10 ans, quel est le revenu cumulé net de frais de gestion ?</w:t>
      </w:r>
    </w:p>
    <w:p>
      <w:pPr>
        <w:spacing w:after="40" w:before="40"/>
        <w:ind w:left="360"/>
      </w:pPr>
      <w:r>
        <w:rPr>
          <w:rFonts w:ascii="Times New Roman" w:cs="Times New Roman" w:eastAsia="Times New Roman" w:hAnsi="Times New Roman"/>
          <w:b/>
          <w:bCs/>
          <w:color w:val="1B3A6B"/>
          <w:sz w:val="22"/>
          <w:szCs w:val="22"/>
        </w:rPr>
        <w:t xml:space="preserve">E. </w:t>
      </w:r>
      <w:r>
        <w:rPr>
          <w:rFonts w:ascii="Times New Roman" w:cs="Times New Roman" w:eastAsia="Times New Roman" w:hAnsi="Times New Roman"/>
          <w:color w:val="1F2937"/>
          <w:sz w:val="22"/>
          <w:szCs w:val="22"/>
        </w:rPr>
        <w:t xml:space="preserve">Rapporté à ton investissement initial de 10 000 €, quel est le rendement annuel moyen net de frais d'entrée et de gestion ?</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Corrigé — Exercice 1</w:t>
      </w:r>
    </w:p>
    <w:p>
      <w:pPr>
        <w:spacing w:after="60" w:before="60"/>
      </w:pPr>
      <w:r>
        <w:rPr>
          <w:rFonts w:ascii="Times New Roman" w:cs="Times New Roman" w:eastAsia="Times New Roman" w:hAnsi="Times New Roman"/>
          <w:color w:val="1F2937"/>
          <w:sz w:val="22"/>
          <w:szCs w:val="22"/>
        </w:rPr>
        <w:t xml:space="preserve">(Synthèse pédagogique — les chiffres ci-dessous découlent directement des données fournies dans l'énoncé.)</w:t>
      </w:r>
    </w:p>
    <w:p>
      <w:pPr>
        <w:spacing w:after="40" w:before="40"/>
        <w:ind w:left="360"/>
      </w:pPr>
      <w:r>
        <w:rPr>
          <w:rFonts w:ascii="Times New Roman" w:cs="Times New Roman" w:eastAsia="Times New Roman" w:hAnsi="Times New Roman"/>
          <w:b/>
          <w:bCs/>
          <w:color w:val="1B3A6B"/>
          <w:sz w:val="22"/>
          <w:szCs w:val="22"/>
        </w:rPr>
        <w:t xml:space="preserve">A. </w:t>
      </w:r>
      <w:r>
        <w:rPr>
          <w:rFonts w:ascii="Times New Roman" w:cs="Times New Roman" w:eastAsia="Times New Roman" w:hAnsi="Times New Roman"/>
          <w:color w:val="1F2937"/>
          <w:sz w:val="22"/>
          <w:szCs w:val="22"/>
        </w:rPr>
        <w:t xml:space="preserve">Capital effectivement investi : 10 000 € × (1 − 8 %) = 9 200 €</w:t>
      </w:r>
    </w:p>
    <w:p>
      <w:pPr>
        <w:spacing w:after="40" w:before="40"/>
        <w:ind w:left="360"/>
      </w:pPr>
      <w:r>
        <w:rPr>
          <w:rFonts w:ascii="Times New Roman" w:cs="Times New Roman" w:eastAsia="Times New Roman" w:hAnsi="Times New Roman"/>
          <w:b/>
          <w:bCs/>
          <w:color w:val="1B3A6B"/>
          <w:sz w:val="22"/>
          <w:szCs w:val="22"/>
        </w:rPr>
        <w:t xml:space="preserve">B. </w:t>
      </w:r>
      <w:r>
        <w:rPr>
          <w:rFonts w:ascii="Times New Roman" w:cs="Times New Roman" w:eastAsia="Times New Roman" w:hAnsi="Times New Roman"/>
          <w:color w:val="1F2937"/>
          <w:sz w:val="22"/>
          <w:szCs w:val="22"/>
        </w:rPr>
        <w:t xml:space="preserve">Revenu brut annuel : 9 200 € × 4,5 % = 414 €</w:t>
      </w:r>
    </w:p>
    <w:p>
      <w:pPr>
        <w:spacing w:after="40" w:before="40"/>
        <w:ind w:left="360"/>
      </w:pPr>
      <w:r>
        <w:rPr>
          <w:rFonts w:ascii="Times New Roman" w:cs="Times New Roman" w:eastAsia="Times New Roman" w:hAnsi="Times New Roman"/>
          <w:b/>
          <w:bCs/>
          <w:color w:val="1B3A6B"/>
          <w:sz w:val="22"/>
          <w:szCs w:val="22"/>
        </w:rPr>
        <w:t xml:space="preserve">C. </w:t>
      </w:r>
      <w:r>
        <w:rPr>
          <w:rFonts w:ascii="Times New Roman" w:cs="Times New Roman" w:eastAsia="Times New Roman" w:hAnsi="Times New Roman"/>
          <w:color w:val="1F2937"/>
          <w:sz w:val="22"/>
          <w:szCs w:val="22"/>
        </w:rPr>
        <w:t xml:space="preserve">Revenu net de frais de gestion : 414 € × (1 − 8 %) = 414 € − 33,12 € = 380,88 € par an</w:t>
      </w:r>
    </w:p>
    <w:p>
      <w:pPr>
        <w:spacing w:after="40" w:before="40"/>
        <w:ind w:left="360"/>
      </w:pPr>
      <w:r>
        <w:rPr>
          <w:rFonts w:ascii="Times New Roman" w:cs="Times New Roman" w:eastAsia="Times New Roman" w:hAnsi="Times New Roman"/>
          <w:b/>
          <w:bCs/>
          <w:color w:val="1B3A6B"/>
          <w:sz w:val="22"/>
          <w:szCs w:val="22"/>
        </w:rPr>
        <w:t xml:space="preserve">D. </w:t>
      </w:r>
      <w:r>
        <w:rPr>
          <w:rFonts w:ascii="Times New Roman" w:cs="Times New Roman" w:eastAsia="Times New Roman" w:hAnsi="Times New Roman"/>
          <w:color w:val="1F2937"/>
          <w:sz w:val="22"/>
          <w:szCs w:val="22"/>
        </w:rPr>
        <w:t xml:space="preserve">Revenu cumulé sur 10 ans : 380,88 € × 10 = 3 808,80 € (hors fiscalité, hors évolution des loyers)</w:t>
      </w:r>
    </w:p>
    <w:p>
      <w:pPr>
        <w:spacing w:after="40" w:before="40"/>
        <w:ind w:left="360"/>
      </w:pPr>
      <w:r>
        <w:rPr>
          <w:rFonts w:ascii="Times New Roman" w:cs="Times New Roman" w:eastAsia="Times New Roman" w:hAnsi="Times New Roman"/>
          <w:b/>
          <w:bCs/>
          <w:color w:val="1B3A6B"/>
          <w:sz w:val="22"/>
          <w:szCs w:val="22"/>
        </w:rPr>
        <w:t xml:space="preserve">E. </w:t>
      </w:r>
      <w:r>
        <w:rPr>
          <w:rFonts w:ascii="Times New Roman" w:cs="Times New Roman" w:eastAsia="Times New Roman" w:hAnsi="Times New Roman"/>
          <w:color w:val="1F2937"/>
          <w:sz w:val="22"/>
          <w:szCs w:val="22"/>
        </w:rPr>
        <w:t xml:space="preserve">Rendement moyen annuel net de frais, rapporté aux 10 000 € initiaux : 380,88 / 10 000 = 3,81 %/an</w:t>
      </w:r>
    </w:p>
    <w:p>
      <w:pPr>
        <w:pBdr>
          <w:left w:val="single" w:color="1B3A6B" w:sz="12"/>
        </w:pBdr>
        <w:shd w:fill="EEF2F7" w:val="clear"/>
        <w:spacing w:after="100" w:before="100"/>
        <w:ind w:left="431" w:right="431"/>
      </w:pPr>
      <w:r>
        <w:rPr>
          <w:rFonts w:ascii="Times New Roman" w:cs="Times New Roman" w:eastAsia="Times New Roman" w:hAnsi="Times New Roman"/>
          <w:color w:val="1F2937"/>
          <w:sz w:val="22"/>
          <w:szCs w:val="22"/>
        </w:rPr>
        <w:t xml:space="preserve">Enseignement clé : des frais d'entrée à 8 % + frais de gestion à 8 % ramènent un rendement brut affiché de 4,5 % à environ 3,8 % net de frais (hors fiscalité et hors évolution de la valeur des parts). La fiscalité sur les revenus fonciers viendra encore réduire ce rendement selon votre tranche d'imposition.</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Exercice 2 — Analyse critique d'une offre de SCPI</w:t>
      </w:r>
    </w:p>
    <w:p>
      <w:pPr>
        <w:spacing w:after="60" w:before="60"/>
      </w:pPr>
      <w:r>
        <w:rPr>
          <w:rFonts w:ascii="Times New Roman" w:cs="Times New Roman" w:eastAsia="Times New Roman" w:hAnsi="Times New Roman"/>
          <w:color w:val="1F2937"/>
          <w:sz w:val="22"/>
          <w:szCs w:val="22"/>
        </w:rPr>
        <w:t xml:space="preserve">Objectif : apprendre à lire une fiche de présentation de SCPI et à identifier les informations manquantes ou les signaux d'alerte.</w:t>
      </w:r>
    </w:p>
    <w:p>
      <w:pPr>
        <w:spacing w:after="60" w:before="60"/>
      </w:pPr>
      <w:r>
        <w:rPr>
          <w:rFonts w:ascii="Times New Roman" w:cs="Times New Roman" w:eastAsia="Times New Roman" w:hAnsi="Times New Roman"/>
          <w:color w:val="1F2937"/>
          <w:sz w:val="22"/>
          <w:szCs w:val="22"/>
        </w:rPr>
        <w:t xml:space="preserve">Voici une description fictive (pédagogique) d'une SCPI :</w:t>
      </w:r>
    </w:p>
    <w:p>
      <w:pPr>
        <w:shd w:fill="EEF2F7" w:val="clear"/>
        <w:spacing w:after="100" w:before="100"/>
        <w:ind w:left="576" w:right="576"/>
      </w:pPr>
      <w:r>
        <w:rPr>
          <w:rFonts w:ascii="Times New Roman" w:cs="Times New Roman" w:eastAsia="Times New Roman" w:hAnsi="Times New Roman"/>
          <w:i/>
          <w:iCs/>
          <w:color w:val="1B3A6B"/>
          <w:sz w:val="22"/>
          <w:szCs w:val="22"/>
        </w:rPr>
        <w:t xml:space="preserve">« SCPI Premium Immo — Rendement garanti de 6 %/an. Ticket d'entrée : 500 €. Aucun frais de souscription pendant l'offre de lancement. Diversification dans 8 pays européens. Revente possible à tout moment. »</w:t>
      </w:r>
    </w:p>
    <w:p>
      <w:pPr>
        <w:spacing w:after="60" w:before="60"/>
      </w:pPr>
      <w:r>
        <w:rPr>
          <w:rFonts w:ascii="Times New Roman" w:cs="Times New Roman" w:eastAsia="Times New Roman" w:hAnsi="Times New Roman"/>
          <w:color w:val="1F2937"/>
          <w:sz w:val="22"/>
          <w:szCs w:val="22"/>
        </w:rPr>
        <w:t xml:space="preserve">Questions :</w:t>
      </w:r>
    </w:p>
    <w:p>
      <w:pPr>
        <w:spacing w:after="40" w:before="40"/>
        <w:ind w:left="360"/>
      </w:pPr>
      <w:r>
        <w:rPr>
          <w:rFonts w:ascii="Times New Roman" w:cs="Times New Roman" w:eastAsia="Times New Roman" w:hAnsi="Times New Roman"/>
          <w:b/>
          <w:bCs/>
          <w:color w:val="1B3A6B"/>
          <w:sz w:val="22"/>
          <w:szCs w:val="22"/>
        </w:rPr>
        <w:t xml:space="preserve">A. </w:t>
      </w:r>
      <w:r>
        <w:rPr>
          <w:rFonts w:ascii="Times New Roman" w:cs="Times New Roman" w:eastAsia="Times New Roman" w:hAnsi="Times New Roman"/>
          <w:color w:val="1F2937"/>
          <w:sz w:val="22"/>
          <w:szCs w:val="22"/>
        </w:rPr>
        <w:t xml:space="preserve">Le terme « rendement garanti » est-il compatible avec la réglementation et les risques d'un placement immobilier ?</w:t>
      </w:r>
    </w:p>
    <w:p>
      <w:pPr>
        <w:spacing w:after="40" w:before="40"/>
        <w:ind w:left="360"/>
      </w:pPr>
      <w:r>
        <w:rPr>
          <w:rFonts w:ascii="Times New Roman" w:cs="Times New Roman" w:eastAsia="Times New Roman" w:hAnsi="Times New Roman"/>
          <w:b/>
          <w:bCs/>
          <w:color w:val="1B3A6B"/>
          <w:sz w:val="22"/>
          <w:szCs w:val="22"/>
        </w:rPr>
        <w:t xml:space="preserve">B. </w:t>
      </w:r>
      <w:r>
        <w:rPr>
          <w:rFonts w:ascii="Times New Roman" w:cs="Times New Roman" w:eastAsia="Times New Roman" w:hAnsi="Times New Roman"/>
          <w:color w:val="1F2937"/>
          <w:sz w:val="22"/>
          <w:szCs w:val="22"/>
        </w:rPr>
        <w:t xml:space="preserve">« Aucun frais de souscription » : ce point est-il suffisant pour évaluer le coût total ? Quels autres frais existent ?</w:t>
      </w:r>
    </w:p>
    <w:p>
      <w:pPr>
        <w:spacing w:after="40" w:before="40"/>
        <w:ind w:left="360"/>
      </w:pPr>
      <w:r>
        <w:rPr>
          <w:rFonts w:ascii="Times New Roman" w:cs="Times New Roman" w:eastAsia="Times New Roman" w:hAnsi="Times New Roman"/>
          <w:b/>
          <w:bCs/>
          <w:color w:val="1B3A6B"/>
          <w:sz w:val="22"/>
          <w:szCs w:val="22"/>
        </w:rPr>
        <w:t xml:space="preserve">C. </w:t>
      </w:r>
      <w:r>
        <w:rPr>
          <w:rFonts w:ascii="Times New Roman" w:cs="Times New Roman" w:eastAsia="Times New Roman" w:hAnsi="Times New Roman"/>
          <w:color w:val="1F2937"/>
          <w:sz w:val="22"/>
          <w:szCs w:val="22"/>
        </w:rPr>
        <w:t xml:space="preserve">« Revente possible à tout moment » : qu'est-ce que La Finance Pour Tous dit sur la liquidité des SCPI ?</w:t>
      </w:r>
    </w:p>
    <w:p>
      <w:pPr>
        <w:spacing w:after="40" w:before="40"/>
        <w:ind w:left="360"/>
      </w:pPr>
      <w:r>
        <w:rPr>
          <w:rFonts w:ascii="Times New Roman" w:cs="Times New Roman" w:eastAsia="Times New Roman" w:hAnsi="Times New Roman"/>
          <w:b/>
          <w:bCs/>
          <w:color w:val="1B3A6B"/>
          <w:sz w:val="22"/>
          <w:szCs w:val="22"/>
        </w:rPr>
        <w:t xml:space="preserve">D. </w:t>
      </w:r>
      <w:r>
        <w:rPr>
          <w:rFonts w:ascii="Times New Roman" w:cs="Times New Roman" w:eastAsia="Times New Roman" w:hAnsi="Times New Roman"/>
          <w:color w:val="1F2937"/>
          <w:sz w:val="22"/>
          <w:szCs w:val="22"/>
        </w:rPr>
        <w:t xml:space="preserve">Quels réflexes adopter avant toute souscription (source : AMF) ?</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Corrigé — Exercice 2</w:t>
      </w:r>
    </w:p>
    <w:p>
      <w:pPr>
        <w:spacing w:after="40" w:before="40"/>
        <w:ind w:left="360"/>
      </w:pPr>
      <w:r>
        <w:rPr>
          <w:rFonts w:ascii="Times New Roman" w:cs="Times New Roman" w:eastAsia="Times New Roman" w:hAnsi="Times New Roman"/>
          <w:b/>
          <w:bCs/>
          <w:color w:val="1B3A6B"/>
          <w:sz w:val="22"/>
          <w:szCs w:val="22"/>
        </w:rPr>
        <w:t xml:space="preserve">A. </w:t>
      </w:r>
      <w:r>
        <w:rPr>
          <w:rFonts w:ascii="Times New Roman" w:cs="Times New Roman" w:eastAsia="Times New Roman" w:hAnsi="Times New Roman"/>
          <w:color w:val="1F2937"/>
          <w:sz w:val="22"/>
          <w:szCs w:val="22"/>
        </w:rPr>
        <w:t xml:space="preserve">Non. Un placement immobilier est un actif à risque et le capital n'y est jamais garanti. L'expression « rendement garanti » est un signal d'alerte : en France, seuls les livrets réglementés d'État et les fonds en euros (assurance-vie) peuvent offrir une garantie en capital sous conditions réglementaires précises. Méfiance systématique face à ce terme sur un produit SCPI.</w:t>
      </w:r>
      <w:r>
        <w:rPr>
          <w:rFonts w:ascii="Times New Roman" w:cs="Times New Roman" w:eastAsia="Times New Roman" w:hAnsi="Times New Roman"/>
          <w:i/>
          <w:iCs/>
          <w:color w:val="6B7280"/>
          <w:sz w:val="20"/>
          <w:szCs w:val="20"/>
        </w:rPr>
        <w:t xml:space="preserve"> [Corrigé le 26/09/2026 : la phrase était introduite par « Selon les principes réglementaires (AMF) ». Vérifié le 26/09/2026 : la seule page AMF listée en ressources, l'espace épargnants, est une page de navigation de 6 363 caractères qui ne contient ni « capital », ni « garanti », ni « risque », ni « immobilier » ; et le guide pédagogique de l'AMF sur les SCPI, listé lui aussi, est un PDF dont le texte n'a pas pu être extrait de façon fiable — je ne peux donc pas confirmer qu'il porte cette affirmation. L'attribution est retirée ; le fond, lui, est exact et reste énoncé comme cadrage de la leçon. Règle du parcours : si tu ne peux pas fournir d'URL testée, ne nomme pas l'organisme.]</w:t>
      </w:r>
    </w:p>
    <w:p>
      <w:pPr>
        <w:spacing w:after="40" w:before="40"/>
        <w:ind w:left="360"/>
      </w:pPr>
      <w:r>
        <w:rPr>
          <w:rFonts w:ascii="Times New Roman" w:cs="Times New Roman" w:eastAsia="Times New Roman" w:hAnsi="Times New Roman"/>
          <w:b/>
          <w:bCs/>
          <w:color w:val="1B3A6B"/>
          <w:sz w:val="22"/>
          <w:szCs w:val="22"/>
        </w:rPr>
        <w:t xml:space="preserve">B. </w:t>
      </w:r>
      <w:r>
        <w:rPr>
          <w:rFonts w:ascii="Times New Roman" w:cs="Times New Roman" w:eastAsia="Times New Roman" w:hAnsi="Times New Roman"/>
          <w:color w:val="1F2937"/>
          <w:sz w:val="22"/>
          <w:szCs w:val="22"/>
        </w:rPr>
        <w:t xml:space="preserve">Non. Même sans frais d'entrée, les frais de gestion annuels (La Finance Pour Tous indique 6 % à 10 % des loyers) s'appliquent chaque année et réduisent le rendement réel. Il faut toujours demander le « taux de frais annuel global » (TFAG) et lire le Document d'Information Clé (DIC) réglementaire.</w:t>
      </w:r>
    </w:p>
    <w:p>
      <w:pPr>
        <w:spacing w:after="40" w:before="40"/>
        <w:ind w:left="360"/>
      </w:pPr>
      <w:r>
        <w:rPr>
          <w:rFonts w:ascii="Times New Roman" w:cs="Times New Roman" w:eastAsia="Times New Roman" w:hAnsi="Times New Roman"/>
          <w:b/>
          <w:bCs/>
          <w:color w:val="1B3A6B"/>
          <w:sz w:val="22"/>
          <w:szCs w:val="22"/>
        </w:rPr>
        <w:t xml:space="preserve">C. </w:t>
      </w:r>
      <w:r>
        <w:rPr>
          <w:rFonts w:ascii="Times New Roman" w:cs="Times New Roman" w:eastAsia="Times New Roman" w:hAnsi="Times New Roman"/>
          <w:color w:val="1F2937"/>
          <w:sz w:val="22"/>
          <w:szCs w:val="22"/>
        </w:rPr>
        <w:t xml:space="preserve">La Finance Pour Tous précise explicitement que la SCPI est un placement à faible liquidité : « Si le marché venait à se gripper, vous pourriez être dans l'incapacité de vendre pendant quelques mois. » La formule « revente possible à tout moment » est donc trompeuse : une revente n'est jamais garantie ni immédiate pour une SCPI.</w:t>
      </w:r>
    </w:p>
    <w:p>
      <w:pPr>
        <w:spacing w:after="40" w:before="40"/>
        <w:ind w:left="360"/>
      </w:pPr>
      <w:r>
        <w:rPr>
          <w:rFonts w:ascii="Times New Roman" w:cs="Times New Roman" w:eastAsia="Times New Roman" w:hAnsi="Times New Roman"/>
          <w:b/>
          <w:bCs/>
          <w:color w:val="1B3A6B"/>
          <w:sz w:val="22"/>
          <w:szCs w:val="22"/>
        </w:rPr>
        <w:t xml:space="preserve">D. </w:t>
      </w:r>
      <w:r>
        <w:rPr>
          <w:rFonts w:ascii="Times New Roman" w:cs="Times New Roman" w:eastAsia="Times New Roman" w:hAnsi="Times New Roman"/>
          <w:color w:val="1F2937"/>
          <w:sz w:val="22"/>
          <w:szCs w:val="22"/>
        </w:rPr>
        <w:t xml:space="preserve">Avant toute souscription à un produit d'investissement, l'AMF recommande : vérifier l'agrément de la société de gestion sur le registre officiel, consulter la liste noire des sites non autorisés (disponible sur amf-france.org), lire le DIC (Document d'Information Clé) et demander le rapport annuel de la SCPI.</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Exercice 3 — Comparer SCPI, OPCI et SIIC selon mon profil</w:t>
      </w:r>
    </w:p>
    <w:p>
      <w:pPr>
        <w:spacing w:after="60" w:before="60"/>
      </w:pPr>
      <w:r>
        <w:rPr>
          <w:rFonts w:ascii="Times New Roman" w:cs="Times New Roman" w:eastAsia="Times New Roman" w:hAnsi="Times New Roman"/>
          <w:color w:val="1F2937"/>
          <w:sz w:val="22"/>
          <w:szCs w:val="22"/>
        </w:rPr>
        <w:t xml:space="preserve">Objectif : mobiliser le tableau comparatif pour choisir le bon véhicule selon un objectif et un profil fictif.</w:t>
      </w:r>
    </w:p>
    <w:p>
      <w:pPr>
        <w:spacing w:after="60" w:before="60"/>
      </w:pPr>
      <w:r>
        <w:rPr>
          <w:rFonts w:ascii="Times New Roman" w:cs="Times New Roman" w:eastAsia="Times New Roman" w:hAnsi="Times New Roman"/>
          <w:color w:val="1F2937"/>
          <w:sz w:val="22"/>
          <w:szCs w:val="22"/>
        </w:rPr>
        <w:t xml:space="preserve">Cas 1 — Marc, 58 ans, souhaite compléter sa retraite dans 8 ans. Il dispose de 20 000 € à placer. Il préfère éviter la volatilité boursière et ne veut pas gérer de locataires.</w:t>
      </w:r>
    </w:p>
    <w:p>
      <w:pPr>
        <w:spacing w:after="60" w:before="60"/>
      </w:pPr>
      <w:r>
        <w:rPr>
          <w:rFonts w:ascii="Times New Roman" w:cs="Times New Roman" w:eastAsia="Times New Roman" w:hAnsi="Times New Roman"/>
          <w:color w:val="1F2937"/>
          <w:sz w:val="22"/>
          <w:szCs w:val="22"/>
        </w:rPr>
        <w:t xml:space="preserve">Cas 2 — Lucie, 40 ans, dispose de 2 000 € et veut s'exposer à l'immobilier avec la possibilité de revendre facilement si besoin.</w:t>
      </w:r>
    </w:p>
    <w:p>
      <w:pPr>
        <w:spacing w:after="60" w:before="60"/>
      </w:pPr>
      <w:r>
        <w:rPr>
          <w:rFonts w:ascii="Times New Roman" w:cs="Times New Roman" w:eastAsia="Times New Roman" w:hAnsi="Times New Roman"/>
          <w:color w:val="1F2937"/>
          <w:sz w:val="22"/>
          <w:szCs w:val="22"/>
        </w:rPr>
        <w:t xml:space="preserve">Pour chaque cas : quel(s) véhicule(s) semble(nt) le plus adapté(s) au regard des critères du tableau ? Quelles questions poser à un CGP avant de décider ?</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Corrigé — Exercice 3</w:t>
      </w:r>
    </w:p>
    <w:p>
      <w:pPr>
        <w:spacing w:after="60" w:before="60"/>
      </w:pPr>
      <w:r>
        <w:rPr>
          <w:rFonts w:ascii="Times New Roman" w:cs="Times New Roman" w:eastAsia="Times New Roman" w:hAnsi="Times New Roman"/>
          <w:color w:val="1F2937"/>
          <w:sz w:val="22"/>
          <w:szCs w:val="22"/>
        </w:rPr>
        <w:t xml:space="preserve">Cas 1 — Marc (58 ans, 8 ans d'horizon)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La SCPI exige un horizon de 10-20 ans minimum selon La Finance Pour Tous. Un horizon de 8 ans est court pour absorber les frais d'entrée (6-12 %) et les cycles immobiliers.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L'OPCI, avec sa composante liquide (~10 % d'actifs liquides), offre une liquidité légèrement supérieure et un horizon souvent cité à 8-10 ans minimum — plus compatible, mais le rendement est généralement inférieur à la SCPI.</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Conclusion pédagogique : aucun véhicule n'est « parfait » pour 8 ans. Marc devrait en discuter avec un CGP, en intégrant la question de la fiscalité des revenus fonciers selon sa tranche d'imposition et la possibilité de loger les parts en assurance-vie (enveloppe plus favorable fiscalement pour les SCPI).</w:t>
      </w:r>
    </w:p>
    <w:p>
      <w:pPr>
        <w:spacing w:after="60" w:before="60"/>
      </w:pPr>
      <w:r>
        <w:rPr>
          <w:rFonts w:ascii="Times New Roman" w:cs="Times New Roman" w:eastAsia="Times New Roman" w:hAnsi="Times New Roman"/>
          <w:color w:val="1F2937"/>
          <w:sz w:val="22"/>
          <w:szCs w:val="22"/>
        </w:rPr>
        <w:t xml:space="preserve">Cas 2 — Lucie (40 ans, liquidité souhaitée) :</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Pour 2 000 €, les trois véhicules sont techniquement accessibles en ticket d'entrée.</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Si la liquidité est une priorité, la SIIC (foncière cotée) offre une revente à tout moment sur les marchés boursiers — mais avec une volatilité directement liée aux marchés financiers.</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L'OPCI est un compromis (liquidité partielle, moins volatile que la SIIC, moins risqué en liquidité que la SCPI).</w:t>
      </w:r>
    </w:p>
    <w:p>
      <w:pPr>
        <w:pStyle w:val="ListParagraph"/>
        <w:numPr>
          <w:ilvl w:val="0"/>
          <w:numId w:val="1"/>
        </w:numPr>
        <w:spacing w:after="40" w:before="40"/>
        <w:ind w:left="360"/>
      </w:pPr>
      <w:r>
        <w:rPr>
          <w:rFonts w:ascii="Times New Roman" w:cs="Times New Roman" w:eastAsia="Times New Roman" w:hAnsi="Times New Roman"/>
          <w:color w:val="1F2937"/>
          <w:sz w:val="22"/>
          <w:szCs w:val="22"/>
        </w:rPr>
        <w:t xml:space="preserve">Question clé à poser à un CGP : est-ce que l'objectif de liquidité est compatible avec un horizon long terme immobilier ? La liquidité et le rendement immobilier sont souvent inversement liés.</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Challenge — Construire une analyse multi-critères</w:t>
      </w:r>
    </w:p>
    <w:p>
      <w:pPr>
        <w:spacing w:after="60" w:before="60"/>
      </w:pPr>
      <w:r>
        <w:rPr>
          <w:rFonts w:ascii="Times New Roman" w:cs="Times New Roman" w:eastAsia="Times New Roman" w:hAnsi="Times New Roman"/>
          <w:color w:val="1F2937"/>
          <w:sz w:val="22"/>
          <w:szCs w:val="22"/>
        </w:rPr>
        <w:t xml:space="preserve">Tu envisages de placer 15 000 € dans de l'immobilier indirect. Tu as un horizon de 12 ans. Tu préfères ne pas gérer de locataires et tu cherches un complément de revenus régulier (dividendes trimestriels).</w:t>
      </w:r>
    </w:p>
    <w:p>
      <w:pPr>
        <w:spacing w:after="60" w:before="60"/>
      </w:pPr>
      <w:r>
        <w:rPr>
          <w:rFonts w:ascii="Times New Roman" w:cs="Times New Roman" w:eastAsia="Times New Roman" w:hAnsi="Times New Roman"/>
          <w:color w:val="1F2937"/>
          <w:sz w:val="22"/>
          <w:szCs w:val="22"/>
        </w:rPr>
        <w:t xml:space="preserve">Rédige une analyse en 5 points :</w:t>
      </w:r>
    </w:p>
    <w:p>
      <w:pPr>
        <w:spacing w:after="40" w:before="40"/>
        <w:ind w:left="360"/>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Quel(s) véhicule(s) de pierre-papier correspondent le mieux à ces contraintes ? Justifie avec les critères du tableau.</w:t>
      </w:r>
    </w:p>
    <w:p>
      <w:pPr>
        <w:spacing w:after="40" w:before="40"/>
        <w:ind w:left="360"/>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Calcule le coût d'entrée total (en €) si tu choisis une SCPI avec 10 % de frais de souscription.</w:t>
      </w:r>
    </w:p>
    <w:p>
      <w:pPr>
        <w:spacing w:after="40" w:before="40"/>
        <w:ind w:left="360"/>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Avec un rendement brut de 4,5 % et des frais de gestion à 8 %, quel revenu net annuel (hors fiscalité) peux-tu espérer sur le capital effectivement investi ?</w:t>
      </w:r>
    </w:p>
    <w:p>
      <w:pPr>
        <w:spacing w:after="40" w:before="40"/>
        <w:ind w:left="360"/>
      </w:pPr>
      <w:r>
        <w:rPr>
          <w:rFonts w:ascii="Times New Roman" w:cs="Times New Roman" w:eastAsia="Times New Roman" w:hAnsi="Times New Roman"/>
          <w:b/>
          <w:bCs/>
          <w:color w:val="1B3A6B"/>
          <w:sz w:val="22"/>
          <w:szCs w:val="22"/>
        </w:rPr>
        <w:t xml:space="preserve">4. </w:t>
      </w:r>
      <w:r>
        <w:rPr>
          <w:rFonts w:ascii="Times New Roman" w:cs="Times New Roman" w:eastAsia="Times New Roman" w:hAnsi="Times New Roman"/>
          <w:color w:val="1F2937"/>
          <w:sz w:val="22"/>
          <w:szCs w:val="22"/>
        </w:rPr>
        <w:t xml:space="preserve">Quels sont les deux risques principaux à anticiper avec ce choix (à tirer du contenu de la leçon) ?</w:t>
      </w:r>
    </w:p>
    <w:p>
      <w:pPr>
        <w:spacing w:after="40" w:before="40"/>
        <w:ind w:left="360"/>
      </w:pPr>
      <w:r>
        <w:rPr>
          <w:rFonts w:ascii="Times New Roman" w:cs="Times New Roman" w:eastAsia="Times New Roman" w:hAnsi="Times New Roman"/>
          <w:b/>
          <w:bCs/>
          <w:color w:val="1B3A6B"/>
          <w:sz w:val="22"/>
          <w:szCs w:val="22"/>
        </w:rPr>
        <w:t xml:space="preserve">5. </w:t>
      </w:r>
      <w:r>
        <w:rPr>
          <w:rFonts w:ascii="Times New Roman" w:cs="Times New Roman" w:eastAsia="Times New Roman" w:hAnsi="Times New Roman"/>
          <w:color w:val="1F2937"/>
          <w:sz w:val="22"/>
          <w:szCs w:val="22"/>
        </w:rPr>
        <w:t xml:space="preserve">Formule deux questions concrètes à poser à un CGP avant de souscrire.</w:t>
      </w:r>
    </w:p>
    <w:p>
      <w:pPr>
        <w:spacing w:after="120" w:before="120"/>
      </w:pPr>
    </w:p>
    <w:p>
      <w:pPr>
        <w:pStyle w:val="Heading3"/>
        <w:spacing w:after="80" w:before="200"/>
      </w:pPr>
      <w:r>
        <w:rPr>
          <w:rFonts w:ascii="Times New Roman" w:cs="Times New Roman" w:eastAsia="Times New Roman" w:hAnsi="Times New Roman"/>
          <w:b/>
          <w:bCs/>
          <w:color w:val="1F2937"/>
          <w:sz w:val="26"/>
          <w:szCs w:val="26"/>
        </w:rPr>
        <w:t xml:space="preserve">Éléments de corrigé — Challenge</w:t>
      </w:r>
    </w:p>
    <w:p>
      <w:pPr>
        <w:spacing w:after="40" w:before="40"/>
        <w:ind w:left="360"/>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La SCPI est le véhicule le plus adapté pour un horizon de 12 ans avec recherche de revenus réguliers : dividendes trimestriels, gestion totalement déléguée, ticket d'entrée accessible. L'horizon de 12 ans est dans la fourchette recommandée (10-20 ans).</w:t>
      </w:r>
    </w:p>
    <w:p>
      <w:pPr>
        <w:spacing w:after="40" w:before="40"/>
        <w:ind w:left="360"/>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Frais d'entrée à 10 % sur 15 000 € = 1 500 € de frais. Capital effectivement investi : 13 500 €.</w:t>
      </w:r>
    </w:p>
    <w:p>
      <w:pPr>
        <w:spacing w:after="40" w:before="40"/>
        <w:ind w:left="360"/>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Revenu brut annuel : 13 500 € × 4,5 % = 607,50 €. Frais de gestion (8 %) : 607,50 × 8 % = 48,60 €. Revenu net de frais de gestion : 607,50 − 48,60 = 558,90 €/an (hors fiscalité sur les revenus fonciers).</w:t>
      </w:r>
    </w:p>
    <w:p>
      <w:pPr>
        <w:spacing w:after="40" w:before="40"/>
        <w:ind w:left="360"/>
      </w:pPr>
      <w:r>
        <w:rPr>
          <w:rFonts w:ascii="Times New Roman" w:cs="Times New Roman" w:eastAsia="Times New Roman" w:hAnsi="Times New Roman"/>
          <w:b/>
          <w:bCs/>
          <w:color w:val="1B3A6B"/>
          <w:sz w:val="22"/>
          <w:szCs w:val="22"/>
        </w:rPr>
        <w:t xml:space="preserve">4. </w:t>
      </w:r>
      <w:r>
        <w:rPr>
          <w:rFonts w:ascii="Times New Roman" w:cs="Times New Roman" w:eastAsia="Times New Roman" w:hAnsi="Times New Roman"/>
          <w:color w:val="1F2937"/>
          <w:sz w:val="22"/>
          <w:szCs w:val="22"/>
        </w:rPr>
        <w:t xml:space="preserve">Risque 1 — Liquidité : en cas de besoin urgent de liquidités, la revente de parts de SCPI peut prendre plusieurs mois (La Finance Pour Tous). Risque 2 — Risque immobilier sous-jacent : la valeur des actifs détenus par la SCPI peut baisser (vacance locative, dépréciation du parc immobilier), entraînant une baisse du dividende et/ou de la valeur des parts — risque de perte en capital.</w:t>
      </w:r>
    </w:p>
    <w:p>
      <w:pPr>
        <w:spacing w:after="40" w:before="40"/>
        <w:ind w:left="360"/>
      </w:pPr>
      <w:r>
        <w:rPr>
          <w:rFonts w:ascii="Times New Roman" w:cs="Times New Roman" w:eastAsia="Times New Roman" w:hAnsi="Times New Roman"/>
          <w:b/>
          <w:bCs/>
          <w:color w:val="1B3A6B"/>
          <w:sz w:val="22"/>
          <w:szCs w:val="22"/>
        </w:rPr>
        <w:t xml:space="preserve">5. </w:t>
      </w:r>
      <w:r>
        <w:rPr>
          <w:rFonts w:ascii="Times New Roman" w:cs="Times New Roman" w:eastAsia="Times New Roman" w:hAnsi="Times New Roman"/>
          <w:color w:val="1F2937"/>
          <w:sz w:val="22"/>
          <w:szCs w:val="22"/>
        </w:rPr>
        <w:t xml:space="preserve">Question 1 : 'Quelle est l'évolution du taux d'occupation financier de cette SCPI sur les 5 dernières années ?' Question 2 : 'Est-il plus avantageux fiscalement pour moi de loger ces parts de SCPI dans mon assurance-vie plutôt qu'en direct, compte tenu de ma tranche d'imposition ?'</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Pont pro</w:t>
      </w:r>
    </w:p>
    <w:p>
      <w:pPr>
        <w:spacing w:after="60" w:before="60"/>
      </w:pPr>
      <w:r>
        <w:rPr>
          <w:rFonts w:ascii="Times New Roman" w:cs="Times New Roman" w:eastAsia="Times New Roman" w:hAnsi="Times New Roman"/>
          <w:color w:val="1F2937"/>
          <w:sz w:val="22"/>
          <w:szCs w:val="22"/>
        </w:rPr>
        <w:t xml:space="preserve">Pour un chef de service en ESSMS, la gestion du patrimoine personnel est distincte du cadre institutionnel. Cependant, la notion de liquidité et de risque s'applique aussi à la gestion budgétaire d'un établissement : arbitrer entre placer les réserves associatives sur des supports peu liquides (immobilier) ou les maintenir disponibles relève du même raisonnement que choisir entre SCPI et livret. Ce n'est pas un conseil d'investissement pour l'établissement, mais un cadre de réflexion.</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color w:val="1F2937"/>
          <w:sz w:val="22"/>
          <w:szCs w:val="22"/>
        </w:rPr>
        <w:t xml:space="preserve">Sources effectivement consultées lors de la génération de cette leçon :</w:t>
      </w:r>
    </w:p>
    <w:p>
      <w:pPr>
        <w:pStyle w:val="ListParagraph"/>
        <w:numPr>
          <w:ilvl w:val="0"/>
          <w:numId w:val="1"/>
        </w:numPr>
        <w:spacing w:after="40" w:before="40"/>
      </w:pPr>
      <w:hyperlink w:history="1" r:id="rId5kv_smnxneun0rbjvqk0a">
        <w:r>
          <w:rPr>
            <w:rFonts w:ascii="Times New Roman" w:cs="Times New Roman" w:eastAsia="Times New Roman" w:hAnsi="Times New Roman"/>
            <w:color w:val="1155CC"/>
            <w:sz w:val="22"/>
            <w:szCs w:val="22"/>
            <w:u w:val="single"/>
          </w:rPr>
          <w:t xml:space="preserve">La Finance Pour Tous — La pierre-papier : SCPI, OPCI, foncières</w:t>
        </w:r>
      </w:hyperlink>
    </w:p>
    <w:p>
      <w:pPr>
        <w:pStyle w:val="ListParagraph"/>
        <w:numPr>
          <w:ilvl w:val="0"/>
          <w:numId w:val="1"/>
        </w:numPr>
        <w:spacing w:after="40" w:before="40"/>
      </w:pPr>
      <w:hyperlink w:history="1" r:id="rIdqpqkvptsnkngkdj2tu2ev">
        <w:r>
          <w:rPr>
            <w:rFonts w:ascii="Times New Roman" w:cs="Times New Roman" w:eastAsia="Times New Roman" w:hAnsi="Times New Roman"/>
            <w:color w:val="1155CC"/>
            <w:sz w:val="22"/>
            <w:szCs w:val="22"/>
            <w:u w:val="single"/>
          </w:rPr>
          <w:t xml:space="preserve">La Finance Pour Tous — Les SCPI (frais, rendement, liquidité)</w:t>
        </w:r>
      </w:hyperlink>
    </w:p>
    <w:p>
      <w:pPr>
        <w:pStyle w:val="ListParagraph"/>
        <w:numPr>
          <w:ilvl w:val="0"/>
          <w:numId w:val="1"/>
        </w:numPr>
        <w:spacing w:after="40" w:before="40"/>
      </w:pPr>
      <w:hyperlink w:history="1" r:id="rIdeclfxqgyst8eha5xpfkbd">
        <w:r>
          <w:rPr>
            <w:rFonts w:ascii="Times New Roman" w:cs="Times New Roman" w:eastAsia="Times New Roman" w:hAnsi="Times New Roman"/>
            <w:color w:val="1155CC"/>
            <w:sz w:val="22"/>
            <w:szCs w:val="22"/>
            <w:u w:val="single"/>
          </w:rPr>
          <w:t xml:space="preserve">La Finance Pour Tous — Les SCPI : un investissement à la loupe</w:t>
        </w:r>
      </w:hyperlink>
    </w:p>
    <w:p>
      <w:pPr>
        <w:pStyle w:val="ListParagraph"/>
        <w:numPr>
          <w:ilvl w:val="0"/>
          <w:numId w:val="1"/>
        </w:numPr>
        <w:spacing w:after="40" w:before="40"/>
      </w:pPr>
      <w:hyperlink w:history="1" r:id="rIdzdmk4f3hugp9vl04puoqo">
        <w:r>
          <w:rPr>
            <w:rFonts w:ascii="Times New Roman" w:cs="Times New Roman" w:eastAsia="Times New Roman" w:hAnsi="Times New Roman"/>
            <w:color w:val="1155CC"/>
            <w:sz w:val="22"/>
            <w:szCs w:val="22"/>
            <w:u w:val="single"/>
          </w:rPr>
          <w:t xml:space="preserve">La Finance Pour Tous — Investir dans l'immobilier locatif avec les SCPI et les OPCI</w:t>
        </w:r>
      </w:hyperlink>
    </w:p>
    <w:p>
      <w:pPr>
        <w:pStyle w:val="ListParagraph"/>
        <w:numPr>
          <w:ilvl w:val="0"/>
          <w:numId w:val="1"/>
        </w:numPr>
        <w:spacing w:after="40" w:before="40"/>
      </w:pPr>
      <w:hyperlink w:history="1" r:id="rIdqeujrpnsjxclvrr0c22uz">
        <w:r>
          <w:rPr>
            <w:rFonts w:ascii="Times New Roman" w:cs="Times New Roman" w:eastAsia="Times New Roman" w:hAnsi="Times New Roman"/>
            <w:color w:val="1155CC"/>
            <w:sz w:val="22"/>
            <w:szCs w:val="22"/>
            <w:u w:val="single"/>
          </w:rPr>
          <w:t xml:space="preserve">La Finance Pour Tous — Les OPCI</w:t>
        </w:r>
      </w:hyperlink>
    </w:p>
    <w:p>
      <w:pPr>
        <w:pStyle w:val="ListParagraph"/>
        <w:numPr>
          <w:ilvl w:val="0"/>
          <w:numId w:val="1"/>
        </w:numPr>
        <w:spacing w:after="40" w:before="40"/>
      </w:pPr>
      <w:hyperlink w:history="1" r:id="rIdthjdm8gqyy30ywfxu9igi">
        <w:r>
          <w:rPr>
            <w:rFonts w:ascii="Times New Roman" w:cs="Times New Roman" w:eastAsia="Times New Roman" w:hAnsi="Times New Roman"/>
            <w:color w:val="1155CC"/>
            <w:sz w:val="22"/>
            <w:szCs w:val="22"/>
            <w:u w:val="single"/>
          </w:rPr>
          <w:t xml:space="preserve">La Finance Pour Tous — Les sociétés foncières (SIIC)</w:t>
        </w:r>
      </w:hyperlink>
    </w:p>
    <w:p>
      <w:pPr>
        <w:pStyle w:val="ListParagraph"/>
        <w:numPr>
          <w:ilvl w:val="0"/>
          <w:numId w:val="1"/>
        </w:numPr>
        <w:spacing w:after="40" w:before="40"/>
      </w:pPr>
      <w:hyperlink w:history="1" r:id="rIdcul9zlvhqhvh8i-2xgzhj">
        <w:r>
          <w:rPr>
            <w:rFonts w:ascii="Times New Roman" w:cs="Times New Roman" w:eastAsia="Times New Roman" w:hAnsi="Times New Roman"/>
            <w:color w:val="1155CC"/>
            <w:sz w:val="22"/>
            <w:szCs w:val="22"/>
            <w:u w:val="single"/>
          </w:rPr>
          <w:t xml:space="preserve">AMF — Guide pédagogique : Les SCPI, la « pierre-papier » (PDF)</w:t>
        </w:r>
      </w:hyperlink>
    </w:p>
    <w:p>
      <w:pPr>
        <w:pStyle w:val="ListParagraph"/>
        <w:numPr>
          <w:ilvl w:val="0"/>
          <w:numId w:val="1"/>
        </w:numPr>
        <w:spacing w:after="40" w:before="40"/>
      </w:pPr>
      <w:hyperlink w:history="1" r:id="rIdb3oanymke8pdxcrgxh9a8">
        <w:r>
          <w:rPr>
            <w:rFonts w:ascii="Times New Roman" w:cs="Times New Roman" w:eastAsia="Times New Roman" w:hAnsi="Times New Roman"/>
            <w:color w:val="1155CC"/>
            <w:sz w:val="22"/>
            <w:szCs w:val="22"/>
            <w:u w:val="single"/>
          </w:rPr>
          <w:t xml:space="preserve">AMF — Espace épargnants (alertes, arnaques, listes noires)</w:t>
        </w:r>
      </w:hyperlink>
    </w:p>
    <w:p>
      <w:pPr>
        <w:pStyle w:val="ListParagraph"/>
        <w:numPr>
          <w:ilvl w:val="0"/>
          <w:numId w:val="1"/>
        </w:numPr>
        <w:spacing w:after="40" w:before="40"/>
      </w:pPr>
      <w:hyperlink w:history="1" r:id="rIdik8nosxqrkg3qbwz7lnag">
        <w:r>
          <w:rPr>
            <w:rFonts w:ascii="Times New Roman" w:cs="Times New Roman" w:eastAsia="Times New Roman" w:hAnsi="Times New Roman"/>
            <w:color w:val="1155CC"/>
            <w:sz w:val="22"/>
            <w:szCs w:val="22"/>
            <w:u w:val="single"/>
          </w:rPr>
          <w:t xml:space="preserve">Impots.gouv.fr — Revenus fonciers et fiscalité immobilière</w:t>
        </w:r>
      </w:hyperlink>
    </w:p>
    <w:p>
      <w:pPr>
        <w:spacing w:after="120" w:before="120"/>
      </w:pPr>
    </w:p>
    <w:p>
      <w:pPr>
        <w:spacing w:after="60" w:before="60"/>
      </w:pPr>
      <w:r>
        <w:rPr>
          <w:rFonts w:ascii="Times New Roman" w:cs="Times New Roman" w:eastAsia="Times New Roman" w:hAnsi="Times New Roman"/>
          <w:color w:val="1F2937"/>
          <w:sz w:val="22"/>
          <w:szCs w:val="22"/>
        </w:rPr>
        <w:t xml:space="preserve">⛔ Sources inaccessibles lors de cette session : economie.gouv.fr/particuliers/epargne (403), service-public.fr/particuliers/vosdroits/N20096 (404 — migration de domaine en cours), abe-infoservice.fr (403).</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Questions à poser à un professionnel agréé (CGP / CIF)</w:t>
      </w:r>
    </w:p>
    <w:p>
      <w:pPr>
        <w:spacing w:after="40" w:before="40"/>
        <w:ind w:left="360"/>
      </w:pPr>
      <w:r>
        <w:rPr>
          <w:rFonts w:ascii="Times New Roman" w:cs="Times New Roman" w:eastAsia="Times New Roman" w:hAnsi="Times New Roman"/>
          <w:b/>
          <w:bCs/>
          <w:color w:val="1B3A6B"/>
          <w:sz w:val="22"/>
          <w:szCs w:val="22"/>
        </w:rPr>
        <w:t xml:space="preserve">1. </w:t>
      </w:r>
      <w:r>
        <w:rPr>
          <w:rFonts w:ascii="Times New Roman" w:cs="Times New Roman" w:eastAsia="Times New Roman" w:hAnsi="Times New Roman"/>
          <w:color w:val="1F2937"/>
          <w:sz w:val="22"/>
          <w:szCs w:val="22"/>
        </w:rPr>
        <w:t xml:space="preserve">Quel est le taux d'occupation financier moyen de cette SCPI sur les 5 dernières années, et comment a-t-il évolué pendant les crises immobilières (2008, 2020) ?</w:t>
      </w:r>
    </w:p>
    <w:p>
      <w:pPr>
        <w:spacing w:after="40" w:before="40"/>
        <w:ind w:left="360"/>
      </w:pPr>
      <w:r>
        <w:rPr>
          <w:rFonts w:ascii="Times New Roman" w:cs="Times New Roman" w:eastAsia="Times New Roman" w:hAnsi="Times New Roman"/>
          <w:b/>
          <w:bCs/>
          <w:color w:val="1B3A6B"/>
          <w:sz w:val="22"/>
          <w:szCs w:val="22"/>
        </w:rPr>
        <w:t xml:space="preserve">2. </w:t>
      </w:r>
      <w:r>
        <w:rPr>
          <w:rFonts w:ascii="Times New Roman" w:cs="Times New Roman" w:eastAsia="Times New Roman" w:hAnsi="Times New Roman"/>
          <w:color w:val="1F2937"/>
          <w:sz w:val="22"/>
          <w:szCs w:val="22"/>
        </w:rPr>
        <w:t xml:space="preserve">Est-il plus avantageux fiscalement pour moi de loger des parts de SCPI dans mon assurance-vie plutôt qu'en direct, compte tenu de ma tranche marginale d'imposition ?</w:t>
      </w:r>
    </w:p>
    <w:p>
      <w:pPr>
        <w:spacing w:after="40" w:before="40"/>
        <w:ind w:left="360"/>
      </w:pPr>
      <w:r>
        <w:rPr>
          <w:rFonts w:ascii="Times New Roman" w:cs="Times New Roman" w:eastAsia="Times New Roman" w:hAnsi="Times New Roman"/>
          <w:b/>
          <w:bCs/>
          <w:color w:val="1B3A6B"/>
          <w:sz w:val="22"/>
          <w:szCs w:val="22"/>
        </w:rPr>
        <w:t xml:space="preserve">3. </w:t>
      </w:r>
      <w:r>
        <w:rPr>
          <w:rFonts w:ascii="Times New Roman" w:cs="Times New Roman" w:eastAsia="Times New Roman" w:hAnsi="Times New Roman"/>
          <w:color w:val="1F2937"/>
          <w:sz w:val="22"/>
          <w:szCs w:val="22"/>
        </w:rPr>
        <w:t xml:space="preserve">Comment la SCPI gère-t-elle le risque de vacance locative dans son patrimoine, et quelle est sa politique de revalorisation des parts ?</w:t>
      </w:r>
    </w:p>
    <w:p>
      <w:pPr>
        <w:spacing w:after="120" w:before="120"/>
      </w:pPr>
    </w:p>
    <w:p>
      <w:pPr>
        <w:pStyle w:val="Heading2"/>
        <w:spacing w:after="120" w:before="320"/>
      </w:pPr>
      <w:r>
        <w:rPr>
          <w:rFonts w:ascii="Times New Roman" w:cs="Times New Roman" w:eastAsia="Times New Roman" w:hAnsi="Times New Roman"/>
          <w:b/>
          <w:bCs/>
          <w:color w:val="1B3A6B"/>
          <w:sz w:val="30"/>
          <w:szCs w:val="30"/>
        </w:rPr>
        <w:t xml:space="preserve">🔜 Prochaine leçon — n°9 : Les frais</w:t>
      </w:r>
    </w:p>
    <w:p>
      <w:pPr>
        <w:spacing w:after="60" w:before="60"/>
      </w:pPr>
      <w:r>
        <w:rPr>
          <w:rFonts w:ascii="Times New Roman" w:cs="Times New Roman" w:eastAsia="Times New Roman" w:hAnsi="Times New Roman"/>
          <w:color w:val="1F2937"/>
          <w:sz w:val="22"/>
          <w:szCs w:val="22"/>
        </w:rPr>
        <w:t xml:space="preserve">Leçon 9 (samedi 8 août 2026) : Les frais (entrée, gestion, courtage, rétrocessions) et leur impact majeur sur le long terme. Nous verrons comment comparer les enveloppes sur leur coût total, comment calculer l'effet des frais sur 10, 15 et 20 ans, et quels outils permettent de comparer les offres (DICI, KIID, simulateurs).</w:t>
      </w:r>
      <w:r>
        <w:rPr>
          <w:rFonts w:ascii="Times New Roman" w:cs="Times New Roman" w:eastAsia="Times New Roman" w:hAnsi="Times New Roman"/>
          <w:i/>
          <w:iCs/>
          <w:color w:val="6B7280"/>
          <w:sz w:val="20"/>
          <w:szCs w:val="20"/>
        </w:rPr>
        <w:t xml:space="preserve"> Thèmes annoncés : frais d'entrée, frais de gestion, courtage, rétrocessions, coût total, impact sur le long terme.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pPr>
        <w:spacing w:after="120" w:before="120"/>
      </w:pPr>
    </w:p>
    <w:p>
      <w:pPr>
        <w:spacing w:after="60" w:before="200"/>
        <w:jc w:val="center"/>
      </w:pPr>
      <w:r>
        <w:rPr>
          <w:rFonts w:ascii="Times New Roman" w:cs="Times New Roman" w:eastAsia="Times New Roman" w:hAnsi="Times New Roman"/>
          <w:i/>
          <w:iCs/>
          <w:color w:val="1B3A6B"/>
          <w:sz w:val="18"/>
          <w:szCs w:val="18"/>
        </w:rPr>
        <w:t xml:space="preserve">⚠️ Ces leçons sont de l'éducation financière générale — elles ne constituent pas un conseil en investissement. Risque de perte en capital.</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Un thème annoncé par la leçon 07 et traité à moitié.</w:t>
      </w:r>
      <w:r>
        <w:rPr>
          <w:rFonts w:ascii="Times New Roman" w:cs="Times New Roman" w:eastAsia="Times New Roman" w:hAnsi="Times New Roman"/>
          <w:color w:val="1F2937"/>
          <w:sz w:val="22"/>
          <w:szCs w:val="22"/>
        </w:rPr>
        <w:t xml:space="preserve"> « Nous analyserons les rendements historiques » : cette leçon donne un rendement annuel brut moyen de 4 % à 5 %/an — une moyenne courante — mais aucune série année par année. Le mot « historique » n'y figure pas une seule fois (vérifié le 26/09/2026). C'est précisé à l'endroit du chiffre plutôt que corrigé : ajouter une série historique serait réécrire la leçon, pas la corriger.</w:t>
      </w:r>
    </w:p>
    <w:p>
      <w:pPr>
        <w:spacing w:after="60" w:before="60" w:line="276"/>
      </w:pPr>
      <w:r>
        <w:rPr>
          <w:rFonts w:ascii="Times New Roman" w:cs="Times New Roman" w:eastAsia="Times New Roman" w:hAnsi="Times New Roman"/>
          <w:b/>
          <w:bCs/>
          <w:color w:val="1F2937"/>
          <w:sz w:val="22"/>
          <w:szCs w:val="22"/>
        </w:rPr>
        <w:t xml:space="preserve">Et une ligne d'annonce a été ajoutée pour la leçon 09.</w:t>
      </w:r>
      <w:r>
        <w:rPr>
          <w:rFonts w:ascii="Times New Roman" w:cs="Times New Roman" w:eastAsia="Times New Roman" w:hAnsi="Times New Roman"/>
          <w:color w:val="1F2937"/>
          <w:sz w:val="22"/>
          <w:szCs w:val="22"/>
        </w:rPr>
        <w:t xml:space="preserve"> La section « Prochaine leçon » porte désormais « Thèmes annoncés : … », dans les termes qu'elle employait déjà. Sans cette ligne, la leçon suivante ne peut pas être contrôlée sur ce qu'on lui a promis — c'est ce qui est arrivé entre la n°15 et la n°16, et ce qui a fait naître le contrôle.</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Un terme rattaché à la mauvaise source par simple proximité.</w:t>
      </w:r>
      <w:r>
        <w:rPr>
          <w:rFonts w:ascii="Times New Roman" w:cs="Times New Roman" w:eastAsia="Times New Roman" w:hAnsi="Times New Roman"/>
          <w:color w:val="1F2937"/>
          <w:sz w:val="22"/>
          <w:szCs w:val="22"/>
        </w:rPr>
        <w:t xml:space="preserve"> « Pierre-papier » se trouvait imputé à impots.gouv.fr — citée deux paragraphes plus haut pour les taux du PFU, et qui n'emploie pas le terme — faute d'avoir nommé sa source là où il est défini. Il vient de La finance pour tous, dont la rubrique porte ce nom, et le guide pédagogique de l'AMF l'emploie dans son titre : les deux étaient déjà en ressources. C'est la nomination qui manquait, pas la source.</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Une affirmation prêtée à l'AMF sans page qui la porte.</w:t>
      </w:r>
      <w:r>
        <w:rPr>
          <w:rFonts w:ascii="Times New Roman" w:cs="Times New Roman" w:eastAsia="Times New Roman" w:hAnsi="Times New Roman"/>
          <w:color w:val="1F2937"/>
          <w:sz w:val="22"/>
          <w:szCs w:val="22"/>
        </w:rPr>
        <w:t xml:space="preserve"> « Selon les principes réglementaires (AMF), un placement immobilier est un actif à risque et le capital n'est jamais garanti. » Le fond est exact, mais aucune source listée ne l'établit : la page AMF citée est une page de navigation de 6 363 caractères sans un seul des mots-clés, et le guide PDF de l'AMF n'a pas pu être extrait de façon fiable (vérifié le 26/09/2026). L'attribution est retirée plutôt que déplacée vers une source non lue.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kv_smnxneun0rbjvqk0a" Type="http://schemas.openxmlformats.org/officeDocument/2006/relationships/hyperlink" Target="https://www.lafinancepourtous.com/pratique/immobilier/les-autres-formes-de-detention-d-un-bien-immobilier/la-pierre-papier/" TargetMode="External"/><Relationship Id="rIdqpqkvptsnkngkdj2tu2ev" Type="http://schemas.openxmlformats.org/officeDocument/2006/relationships/hyperlink" Target="https://www.lafinancepourtous.com/pratique/immobilier/les-autres-formes-de-detention-d-un-bien-immobilier/la-pierre-papier/les-scpi-societe-civile-de-placements-immobiliers/" TargetMode="External"/><Relationship Id="rIdeclfxqgyst8eha5xpfkbd" Type="http://schemas.openxmlformats.org/officeDocument/2006/relationships/hyperlink" Target="https://www.lafinancepourtous.com/pratique/immobilier/les-autres-formes-de-detention-d-un-bien-immobilier/la-pierre-papier/les-scpi-un-investissement-a-la-loupe/" TargetMode="External"/><Relationship Id="rIdzdmk4f3hugp9vl04puoqo" Type="http://schemas.openxmlformats.org/officeDocument/2006/relationships/hyperlink" Target="https://www.lafinancepourtous.com/pratique/immobilier/les-autres-formes-de-detention-d-un-bien-immobilier/la-pierre-papier/investir-dans-limmobilier-locatif-avec-les-scpi-et-les-opci/" TargetMode="External"/><Relationship Id="rIdqeujrpnsjxclvrr0c22uz" Type="http://schemas.openxmlformats.org/officeDocument/2006/relationships/hyperlink" Target="https://www.lafinancepourtous.com/pratique/immobilier/les-autres-formes-de-detention-d-un-bien-immobilier/la-pierre-papier/les-opci-organisme-de-placement-collectif-immobilier/" TargetMode="External"/><Relationship Id="rIdthjdm8gqyy30ywfxu9igi" Type="http://schemas.openxmlformats.org/officeDocument/2006/relationships/hyperlink" Target="https://www.lafinancepourtous.com/pratique/immobilier/les-autres-formes-de-detention-d-un-bien-immobilier/la-pierre-papier/les-societes-foncieres/" TargetMode="External"/><Relationship Id="rIdcul9zlvhqhvh8i-2xgzhj" Type="http://schemas.openxmlformats.org/officeDocument/2006/relationships/hyperlink" Target="https://www.amf-france.org/sites/institutionnel/files/contenu_simple/guide/guide_pedagogique/S&apos;informer%20sur%20%20Les%20SCPI%20%20la%20&apos;pierre%20papier&apos;.pdf" TargetMode="External"/><Relationship Id="rIdb3oanymke8pdxcrgxh9a8" Type="http://schemas.openxmlformats.org/officeDocument/2006/relationships/hyperlink" Target="https://www.amf-france.org/fr/espace-epargnants" TargetMode="External"/><Relationship Id="rIdik8nosxqrkg3qbwz7lnag" Type="http://schemas.openxmlformats.org/officeDocument/2006/relationships/hyperlink" Target="https://www.impots.gouv.fr/particulier"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2026-08-01T06:08:55.860Z</dcterms:created>
  <dcterms:modified xsi:type="dcterms:W3CDTF">2026-08-01T06:08:55.878Z</dcterms:modified>
</cp:coreProperties>
</file>

<file path=docProps/custom.xml><?xml version="1.0" encoding="utf-8"?>
<Properties xmlns="http://schemas.openxmlformats.org/officeDocument/2006/custom-properties" xmlns:vt="http://schemas.openxmlformats.org/officeDocument/2006/docPropsVTypes"/>
</file>