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i w:val="false"/>
          <w:iCs w:val="false"/>
          <w:color w:val="1B3A6B"/>
          <w:sz w:val="56"/>
          <w:szCs w:val="56"/>
        </w:rPr>
        <w:t xml:space="preserve">Veille RGPD — Compte-rendu</w:t>
      </w:r>
    </w:p>
    <w:p>
      <w:pPr>
        <w:spacing w:after="240"/>
        <w:jc w:val="center"/>
      </w:pPr>
      <w:r>
        <w:rPr>
          <w:rFonts w:ascii="Calibri" w:cs="Calibri" w:eastAsia="Calibri" w:hAnsi="Calibri"/>
          <w:b/>
          <w:bCs/>
          <w:i w:val="false"/>
          <w:iCs w:val="false"/>
          <w:color w:val="B45309"/>
          <w:sz w:val="24"/>
          <w:szCs w:val="24"/>
        </w:rPr>
        <w:t xml:space="preserve">11 juillet 2026 · Niveau d'alerte : 🟡 À surveiller · Sources exploitées : 4/7 (mode headless WebSearch)</w:t>
      </w:r>
    </w:p>
    <w:p>
      <w:pPr>
        <w:pBdr>
          <w:bottom w:val="single" w:color="1B3A6B" w:sz="6" w:space="4"/>
        </w:pBdr>
        <w:spacing w:after="120" w:before="260"/>
      </w:pPr>
      <w:r>
        <w:rPr>
          <w:rFonts w:ascii="Calibri" w:cs="Calibri" w:eastAsia="Calibri" w:hAnsi="Calibri"/>
          <w:b/>
          <w:bCs/>
          <w:i w:val="false"/>
          <w:iCs w:val="false"/>
          <w:color w:val="1B3A6B"/>
          <w:sz w:val="28"/>
          <w:szCs w:val="28"/>
        </w:rPr>
        <w:t xml:space="preserve">🔵 En bref</w:t>
      </w:r>
    </w:p>
    <w:p>
      <w:pPr>
        <w:spacing w:after="80"/>
        <w:ind w:left="360" w:hanging="220"/>
      </w:pPr>
      <w:r>
        <w:rPr>
          <w:rFonts w:ascii="Calibri" w:cs="Calibri" w:eastAsia="Calibri" w:hAnsi="Calibri"/>
          <w:b w:val="false"/>
          <w:bCs w:val="false"/>
          <w:i w:val="false"/>
          <w:iCs w:val="false"/>
          <w:color w:val="1F2937"/>
          <w:sz w:val="22"/>
          <w:szCs w:val="22"/>
        </w:rPr>
        <w:t xml:space="preserve">•  </w:t>
      </w:r>
      <w:r>
        <w:rPr>
          <w:rFonts w:ascii="Calibri" w:cs="Calibri" w:eastAsia="Calibri" w:hAnsi="Calibri"/>
          <w:b/>
          <w:bCs/>
          <w:i w:val="false"/>
          <w:iCs w:val="false"/>
          <w:color w:val="1F2937"/>
          <w:sz w:val="22"/>
          <w:szCs w:val="22"/>
        </w:rPr>
        <w:t xml:space="preserve">Sanction record télécoms : </w:t>
      </w:r>
      <w:r>
        <w:rPr>
          <w:rFonts w:ascii="Calibri" w:cs="Calibri" w:eastAsia="Calibri" w:hAnsi="Calibri"/>
          <w:b w:val="false"/>
          <w:bCs w:val="false"/>
          <w:i w:val="false"/>
          <w:iCs w:val="false"/>
          <w:color w:val="1F2937"/>
          <w:sz w:val="22"/>
          <w:szCs w:val="22"/>
        </w:rPr>
        <w:t xml:space="preserve">la CNIL sanctionne FREE MOBILE (27 M€) et FREE (15 M€), soit 42 M€ au total, pour des manquements à la sécurité et une violation de données touchant des informations « hautement personnelles ».</w:t>
      </w:r>
    </w:p>
    <w:p>
      <w:pPr>
        <w:spacing w:after="80"/>
        <w:ind w:left="360" w:hanging="220"/>
      </w:pPr>
      <w:r>
        <w:rPr>
          <w:rFonts w:ascii="Calibri" w:cs="Calibri" w:eastAsia="Calibri" w:hAnsi="Calibri"/>
          <w:b w:val="false"/>
          <w:bCs w:val="false"/>
          <w:i w:val="false"/>
          <w:iCs w:val="false"/>
          <w:color w:val="1F2937"/>
          <w:sz w:val="22"/>
          <w:szCs w:val="22"/>
        </w:rPr>
        <w:t xml:space="preserve">•  </w:t>
      </w:r>
      <w:r>
        <w:rPr>
          <w:rFonts w:ascii="Calibri" w:cs="Calibri" w:eastAsia="Calibri" w:hAnsi="Calibri"/>
          <w:b/>
          <w:bCs/>
          <w:i w:val="false"/>
          <w:iCs w:val="false"/>
          <w:color w:val="1F2937"/>
          <w:sz w:val="22"/>
          <w:szCs w:val="22"/>
        </w:rPr>
        <w:t xml:space="preserve">Données de santé : </w:t>
      </w:r>
      <w:r>
        <w:rPr>
          <w:rFonts w:ascii="Calibri" w:cs="Calibri" w:eastAsia="Calibri" w:hAnsi="Calibri"/>
          <w:b w:val="false"/>
          <w:bCs w:val="false"/>
          <w:i w:val="false"/>
          <w:iCs w:val="false"/>
          <w:color w:val="1F2937"/>
          <w:sz w:val="22"/>
          <w:szCs w:val="22"/>
        </w:rPr>
        <w:t xml:space="preserve">amende de 5 M€ contre IQVIA OPERATIONS FRANCE (délibération du 26 mai 2026) pour non-respect des garanties encadrant un entrepôt de données de santé (méthodologies de référence MR-001/MR-003).</w:t>
      </w:r>
    </w:p>
    <w:p>
      <w:pPr>
        <w:spacing w:after="80"/>
        <w:ind w:left="360" w:hanging="220"/>
      </w:pPr>
      <w:r>
        <w:rPr>
          <w:rFonts w:ascii="Calibri" w:cs="Calibri" w:eastAsia="Calibri" w:hAnsi="Calibri"/>
          <w:b w:val="false"/>
          <w:bCs w:val="false"/>
          <w:i w:val="false"/>
          <w:iCs w:val="false"/>
          <w:color w:val="1F2937"/>
          <w:sz w:val="22"/>
          <w:szCs w:val="22"/>
        </w:rPr>
        <w:t xml:space="preserve">•  </w:t>
      </w:r>
      <w:r>
        <w:rPr>
          <w:rFonts w:ascii="Calibri" w:cs="Calibri" w:eastAsia="Calibri" w:hAnsi="Calibri"/>
          <w:b/>
          <w:bCs/>
          <w:i w:val="false"/>
          <w:iCs w:val="false"/>
          <w:color w:val="1F2937"/>
          <w:sz w:val="22"/>
          <w:szCs w:val="22"/>
        </w:rPr>
        <w:t xml:space="preserve">EDPB (plénière du 8 juillet 2026) : </w:t>
      </w:r>
      <w:r>
        <w:rPr>
          <w:rFonts w:ascii="Calibri" w:cs="Calibri" w:eastAsia="Calibri" w:hAnsi="Calibri"/>
          <w:b w:val="false"/>
          <w:bCs w:val="false"/>
          <w:i w:val="false"/>
          <w:iCs w:val="false"/>
          <w:color w:val="1F2937"/>
          <w:sz w:val="22"/>
          <w:szCs w:val="22"/>
        </w:rPr>
        <w:t xml:space="preserve">adoption de lignes directrices sur l'anonymisation et sur le web scraping pour l'IA générative, + version finale des lignes directrices blockchain. Consultation publique ouverte jusqu'au 30 octobre 2026.</w:t>
      </w:r>
    </w:p>
    <w:p>
      <w:pPr>
        <w:spacing w:after="80"/>
        <w:ind w:left="360" w:hanging="220"/>
      </w:pPr>
      <w:r>
        <w:rPr>
          <w:rFonts w:ascii="Calibri" w:cs="Calibri" w:eastAsia="Calibri" w:hAnsi="Calibri"/>
          <w:b w:val="false"/>
          <w:bCs w:val="false"/>
          <w:i w:val="false"/>
          <w:iCs w:val="false"/>
          <w:color w:val="1F2937"/>
          <w:sz w:val="22"/>
          <w:szCs w:val="22"/>
        </w:rPr>
        <w:t xml:space="preserve">•  </w:t>
      </w:r>
      <w:r>
        <w:rPr>
          <w:rFonts w:ascii="Calibri" w:cs="Calibri" w:eastAsia="Calibri" w:hAnsi="Calibri"/>
          <w:b/>
          <w:bCs/>
          <w:i w:val="false"/>
          <w:iCs w:val="false"/>
          <w:color w:val="1F2937"/>
          <w:sz w:val="22"/>
          <w:szCs w:val="22"/>
        </w:rPr>
        <w:t xml:space="preserve">Scraping sanctionné : </w:t>
      </w:r>
      <w:r>
        <w:rPr>
          <w:rFonts w:ascii="Calibri" w:cs="Calibri" w:eastAsia="Calibri" w:hAnsi="Calibri"/>
          <w:b w:val="false"/>
          <w:bCs w:val="false"/>
          <w:i w:val="false"/>
          <w:iCs w:val="false"/>
          <w:color w:val="1F2937"/>
          <w:sz w:val="22"/>
          <w:szCs w:val="22"/>
        </w:rPr>
        <w:t xml:space="preserve">240 000 € contre KASPR pour aspiration de données de contact sans base légale valable.</w:t>
      </w:r>
    </w:p>
    <w:p>
      <w:pPr>
        <w:spacing w:after="80"/>
        <w:ind w:left="360" w:hanging="220"/>
      </w:pPr>
      <w:r>
        <w:rPr>
          <w:rFonts w:ascii="Calibri" w:cs="Calibri" w:eastAsia="Calibri" w:hAnsi="Calibri"/>
          <w:b w:val="false"/>
          <w:bCs w:val="false"/>
          <w:i w:val="false"/>
          <w:iCs w:val="false"/>
          <w:color w:val="1F2937"/>
          <w:sz w:val="22"/>
          <w:szCs w:val="22"/>
        </w:rPr>
        <w:t xml:space="preserve">•  </w:t>
      </w:r>
      <w:r>
        <w:rPr>
          <w:rFonts w:ascii="Calibri" w:cs="Calibri" w:eastAsia="Calibri" w:hAnsi="Calibri"/>
          <w:b/>
          <w:bCs/>
          <w:i w:val="false"/>
          <w:iCs w:val="false"/>
          <w:color w:val="1F2937"/>
          <w:sz w:val="22"/>
          <w:szCs w:val="22"/>
        </w:rPr>
        <w:t xml:space="preserve">Procédure simplifiée : </w:t>
      </w:r>
      <w:r>
        <w:rPr>
          <w:rFonts w:ascii="Calibri" w:cs="Calibri" w:eastAsia="Calibri" w:hAnsi="Calibri"/>
          <w:b w:val="false"/>
          <w:bCs w:val="false"/>
          <w:i w:val="false"/>
          <w:iCs w:val="false"/>
          <w:color w:val="1F2937"/>
          <w:sz w:val="22"/>
          <w:szCs w:val="22"/>
        </w:rPr>
        <w:t xml:space="preserve">23 sanctions prononcées depuis janvier (au 6 juillet 2026) — vidéosurveillance excessive, cookies, non-respect des droits, défaut de coopération.</w:t>
      </w:r>
    </w:p>
    <w:p>
      <w:pPr>
        <w:pBdr>
          <w:bottom w:val="single" w:color="1B3A6B" w:sz="6" w:space="4"/>
        </w:pBdr>
        <w:spacing w:after="120" w:before="260"/>
      </w:pPr>
      <w:r>
        <w:rPr>
          <w:rFonts w:ascii="Calibri" w:cs="Calibri" w:eastAsia="Calibri" w:hAnsi="Calibri"/>
          <w:b/>
          <w:bCs/>
          <w:i w:val="false"/>
          <w:iCs w:val="false"/>
          <w:color w:val="1B3A6B"/>
          <w:sz w:val="28"/>
          <w:szCs w:val="28"/>
        </w:rPr>
        <w:t xml:space="preserve">⚖️ Sanctions &amp; jurisprudence</w:t>
      </w:r>
    </w:p>
    <w:p>
      <w:pPr>
        <w:spacing w:after="120"/>
      </w:pPr>
      <w:r>
        <w:rPr>
          <w:rFonts w:ascii="Calibri" w:cs="Calibri" w:eastAsia="Calibri" w:hAnsi="Calibri"/>
          <w:b/>
          <w:bCs/>
          <w:i w:val="false"/>
          <w:iCs w:val="false"/>
          <w:color w:val="1F2937"/>
          <w:sz w:val="22"/>
          <w:szCs w:val="22"/>
        </w:rPr>
        <w:t xml:space="preserve">FREE / FREE MOBILE — 42 M€ (27 + 15). </w:t>
      </w:r>
      <w:r>
        <w:rPr>
          <w:rFonts w:ascii="Calibri" w:cs="Calibri" w:eastAsia="Calibri" w:hAnsi="Calibri"/>
          <w:b w:val="false"/>
          <w:bCs w:val="false"/>
          <w:i w:val="false"/>
          <w:iCs w:val="false"/>
          <w:color w:val="1F2937"/>
          <w:sz w:val="22"/>
          <w:szCs w:val="22"/>
        </w:rPr>
        <w:t xml:space="preserve">La formation restreinte retient la méconnaissance de principes essentiels de sécurité (art. 32 RGPD) et les conséquences d'une violation de données portant sur des données à caractère « hautement personnel ». Le montant tient compte des capacités financières, du nombre de personnes concernées et de la nature des données. Enseignement : la sécurité (art. 32) et la notification/maîtrise des violations restent le premier poste de risque.</w:t>
      </w:r>
    </w:p>
    <w:p>
      <w:pPr>
        <w:spacing w:after="120"/>
      </w:pPr>
      <w:r>
        <w:rPr>
          <w:rFonts w:ascii="Calibri" w:cs="Calibri" w:eastAsia="Calibri" w:hAnsi="Calibri"/>
          <w:b/>
          <w:bCs/>
          <w:i w:val="false"/>
          <w:iCs w:val="false"/>
          <w:color w:val="1F2937"/>
          <w:sz w:val="22"/>
          <w:szCs w:val="22"/>
        </w:rPr>
        <w:t xml:space="preserve">IQVIA OPERATIONS FRANCE — 5 M€ (26 mai 2026). </w:t>
      </w:r>
      <w:r>
        <w:rPr>
          <w:rFonts w:ascii="Calibri" w:cs="Calibri" w:eastAsia="Calibri" w:hAnsi="Calibri"/>
          <w:b w:val="false"/>
          <w:bCs w:val="false"/>
          <w:i w:val="false"/>
          <w:iCs w:val="false"/>
          <w:color w:val="1F2937"/>
          <w:sz w:val="22"/>
          <w:szCs w:val="22"/>
        </w:rPr>
        <w:t xml:space="preserve">Manquements liés à la gestion d'un entrepôt de données de santé et au non-respect des conditions d'autorisation / des méthodologies de référence (MR-001, MR-003). Signal fort pour tout acteur manipulant des données de santé à grande échelle.</w:t>
      </w:r>
    </w:p>
    <w:p>
      <w:pPr>
        <w:spacing w:after="120"/>
      </w:pPr>
      <w:r>
        <w:rPr>
          <w:rFonts w:ascii="Calibri" w:cs="Calibri" w:eastAsia="Calibri" w:hAnsi="Calibri"/>
          <w:b/>
          <w:bCs/>
          <w:i w:val="false"/>
          <w:iCs w:val="false"/>
          <w:color w:val="1F2937"/>
          <w:sz w:val="22"/>
          <w:szCs w:val="22"/>
        </w:rPr>
        <w:t xml:space="preserve">KASPR — 240 000 €. </w:t>
      </w:r>
      <w:r>
        <w:rPr>
          <w:rFonts w:ascii="Calibri" w:cs="Calibri" w:eastAsia="Calibri" w:hAnsi="Calibri"/>
          <w:b w:val="false"/>
          <w:bCs w:val="false"/>
          <w:i w:val="false"/>
          <w:iCs w:val="false"/>
          <w:color w:val="1F2937"/>
          <w:sz w:val="22"/>
          <w:szCs w:val="22"/>
        </w:rPr>
        <w:t xml:space="preserve">Aspiration (scraping) de données de contact professionnel : absence de base légale et défaut d'information des personnes. À rapprocher des nouvelles lignes directrices EDPB sur le web scraping (ci-dessous).</w:t>
      </w:r>
    </w:p>
    <w:p>
      <w:pPr>
        <w:pBdr>
          <w:bottom w:val="single" w:color="1B3A6B" w:sz="6" w:space="4"/>
        </w:pBdr>
        <w:spacing w:after="120" w:before="260"/>
      </w:pPr>
      <w:r>
        <w:rPr>
          <w:rFonts w:ascii="Calibri" w:cs="Calibri" w:eastAsia="Calibri" w:hAnsi="Calibri"/>
          <w:b/>
          <w:bCs/>
          <w:i w:val="false"/>
          <w:iCs w:val="false"/>
          <w:color w:val="1B3A6B"/>
          <w:sz w:val="28"/>
          <w:szCs w:val="28"/>
        </w:rPr>
        <w:t xml:space="preserve">🏛️ Doctrine &amp; lignes directrices</w:t>
      </w:r>
    </w:p>
    <w:p>
      <w:pPr>
        <w:spacing w:after="120"/>
      </w:pPr>
      <w:r>
        <w:rPr>
          <w:rFonts w:ascii="Calibri" w:cs="Calibri" w:eastAsia="Calibri" w:hAnsi="Calibri"/>
          <w:b/>
          <w:bCs/>
          <w:i w:val="false"/>
          <w:iCs w:val="false"/>
          <w:color w:val="1F2937"/>
          <w:sz w:val="22"/>
          <w:szCs w:val="22"/>
        </w:rPr>
        <w:t xml:space="preserve">EDPB — plénière du 8 juillet 2026. </w:t>
      </w:r>
      <w:r>
        <w:rPr>
          <w:rFonts w:ascii="Calibri" w:cs="Calibri" w:eastAsia="Calibri" w:hAnsi="Calibri"/>
          <w:b w:val="false"/>
          <w:bCs w:val="false"/>
          <w:i w:val="false"/>
          <w:iCs w:val="false"/>
          <w:color w:val="1F2937"/>
          <w:sz w:val="22"/>
          <w:szCs w:val="22"/>
        </w:rPr>
        <w:t xml:space="preserve">Trois textes marquants : (1) lignes directrices sur l'anonymisation, précisant la notion de donnée anonyme à la lumière de l'arrêt CJUE C-413/23 P (EDPS c/ SRB, 4 septembre 2025) ; (2) lignes directrices sur le web scraping dans le contexte de l'IA générative (bases légales, traitement des catégories particulières de données) ; (3) version finale des lignes directrices sur la blockchain. Les deux premières sont en consultation publique jusqu'au 30 octobre 2026.</w:t>
      </w:r>
    </w:p>
    <w:p>
      <w:pPr>
        <w:spacing w:after="120"/>
      </w:pPr>
      <w:r>
        <w:rPr>
          <w:rFonts w:ascii="Calibri" w:cs="Calibri" w:eastAsia="Calibri" w:hAnsi="Calibri"/>
          <w:b/>
          <w:bCs/>
          <w:i w:val="false"/>
          <w:iCs w:val="false"/>
          <w:color w:val="1F2937"/>
          <w:sz w:val="22"/>
          <w:szCs w:val="22"/>
        </w:rPr>
        <w:t xml:space="preserve">EDPB — programme de travail 2026-2027 </w:t>
      </w:r>
      <w:r>
        <w:rPr>
          <w:rFonts w:ascii="Calibri" w:cs="Calibri" w:eastAsia="Calibri" w:hAnsi="Calibri"/>
          <w:b w:val="false"/>
          <w:bCs w:val="false"/>
          <w:i w:val="false"/>
          <w:iCs w:val="false"/>
          <w:color w:val="1F2937"/>
          <w:sz w:val="22"/>
          <w:szCs w:val="22"/>
        </w:rPr>
        <w:t xml:space="preserve">orienté « simplification de la conformité » et renforcement de la coopération ; le cadre d'action coordonnée (Coordinated Enforcement Framework) 2026 a par ailleurs sélectionné son thème annuel.</w:t>
      </w:r>
    </w:p>
    <w:p>
      <w:pPr>
        <w:pBdr>
          <w:bottom w:val="single" w:color="1B3A6B" w:sz="6" w:space="4"/>
        </w:pBdr>
        <w:spacing w:after="120" w:before="260"/>
      </w:pPr>
      <w:r>
        <w:rPr>
          <w:rFonts w:ascii="Calibri" w:cs="Calibri" w:eastAsia="Calibri" w:hAnsi="Calibri"/>
          <w:b/>
          <w:bCs/>
          <w:i w:val="false"/>
          <w:iCs w:val="false"/>
          <w:color w:val="1B3A6B"/>
          <w:sz w:val="28"/>
          <w:szCs w:val="28"/>
        </w:rPr>
        <w:t xml:space="preserve">🏥 Focus santé / médico-social</w:t>
      </w:r>
    </w:p>
    <w:p>
      <w:pPr>
        <w:spacing w:after="120"/>
      </w:pPr>
      <w:r>
        <w:rPr>
          <w:rFonts w:ascii="Calibri" w:cs="Calibri" w:eastAsia="Calibri" w:hAnsi="Calibri"/>
          <w:b/>
          <w:bCs/>
          <w:i w:val="false"/>
          <w:iCs w:val="false"/>
          <w:color w:val="1F2937"/>
          <w:sz w:val="22"/>
          <w:szCs w:val="22"/>
        </w:rPr>
        <w:t xml:space="preserve">Référentiel professionnels de santé libéraux : </w:t>
      </w:r>
      <w:r>
        <w:rPr>
          <w:rFonts w:ascii="Calibri" w:cs="Calibri" w:eastAsia="Calibri" w:hAnsi="Calibri"/>
          <w:b w:val="false"/>
          <w:bCs w:val="false"/>
          <w:i w:val="false"/>
          <w:iCs w:val="false"/>
          <w:color w:val="1F2937"/>
          <w:sz w:val="22"/>
          <w:szCs w:val="22"/>
        </w:rPr>
        <w:t xml:space="preserve">la CNIL a adopté un référentiel appliquant les principes du RGPD aux traitements de données sensibles de gestion médicale et administrative, permettant une mise en conformité par déclaration de conformité.</w:t>
      </w:r>
    </w:p>
    <w:p>
      <w:pPr>
        <w:spacing w:after="120"/>
      </w:pPr>
      <w:r>
        <w:rPr>
          <w:rFonts w:ascii="Calibri" w:cs="Calibri" w:eastAsia="Calibri" w:hAnsi="Calibri"/>
          <w:b/>
          <w:bCs/>
          <w:i w:val="false"/>
          <w:iCs w:val="false"/>
          <w:color w:val="1F2937"/>
          <w:sz w:val="22"/>
          <w:szCs w:val="22"/>
        </w:rPr>
        <w:t xml:space="preserve">Dossier patient informatisé (DPI) : </w:t>
      </w:r>
      <w:r>
        <w:rPr>
          <w:rFonts w:ascii="Calibri" w:cs="Calibri" w:eastAsia="Calibri" w:hAnsi="Calibri"/>
          <w:b w:val="false"/>
          <w:bCs w:val="false"/>
          <w:i w:val="false"/>
          <w:iCs w:val="false"/>
          <w:color w:val="1F2937"/>
          <w:sz w:val="22"/>
          <w:szCs w:val="22"/>
        </w:rPr>
        <w:t xml:space="preserve">la CNIL prévoit en 2026 un document consolidant les règles applicables au DPI, avec recommandations juridiques et techniques destinées aux DPO, RSSI et directions générales d'établissements — à suivre de près côté ESSMS disposant d'un dossier usager informatisé (DUI).</w:t>
      </w:r>
    </w:p>
    <w:p>
      <w:pPr>
        <w:spacing w:after="120"/>
      </w:pPr>
      <w:r>
        <w:rPr>
          <w:rFonts w:ascii="Calibri" w:cs="Calibri" w:eastAsia="Calibri" w:hAnsi="Calibri"/>
          <w:b/>
          <w:bCs/>
          <w:i w:val="false"/>
          <w:iCs w:val="false"/>
          <w:color w:val="1F2937"/>
          <w:sz w:val="22"/>
          <w:szCs w:val="22"/>
        </w:rPr>
        <w:t xml:space="preserve">Sanction IQVIA : </w:t>
      </w:r>
      <w:r>
        <w:rPr>
          <w:rFonts w:ascii="Calibri" w:cs="Calibri" w:eastAsia="Calibri" w:hAnsi="Calibri"/>
          <w:b w:val="false"/>
          <w:bCs w:val="false"/>
          <w:i w:val="false"/>
          <w:iCs w:val="false"/>
          <w:color w:val="1F2937"/>
          <w:sz w:val="22"/>
          <w:szCs w:val="22"/>
        </w:rPr>
        <w:t xml:space="preserve">rappel que les entrepôts et traitements secondaires de données de santé exigent le strict respect des méthodologies de référence et des autorisations CNIL.</w:t>
      </w:r>
    </w:p>
    <w:p>
      <w:pPr>
        <w:pBdr>
          <w:bottom w:val="single" w:color="1B3A6B" w:sz="6" w:space="4"/>
        </w:pBdr>
        <w:spacing w:after="120" w:before="260"/>
      </w:pPr>
      <w:r>
        <w:rPr>
          <w:rFonts w:ascii="Calibri" w:cs="Calibri" w:eastAsia="Calibri" w:hAnsi="Calibri"/>
          <w:b/>
          <w:bCs/>
          <w:i w:val="false"/>
          <w:iCs w:val="false"/>
          <w:color w:val="1B3A6B"/>
          <w:sz w:val="28"/>
          <w:szCs w:val="28"/>
        </w:rPr>
        <w:t xml:space="preserve">⚠️ Impacts pour les ESSMS</w:t>
      </w:r>
    </w:p>
    <w:p>
      <w:pPr>
        <w:spacing w:after="80"/>
        <w:ind w:left="360" w:hanging="220"/>
      </w:pPr>
      <w:r>
        <w:rPr>
          <w:rFonts w:ascii="Calibri" w:cs="Calibri" w:eastAsia="Calibri" w:hAnsi="Calibri"/>
          <w:b w:val="false"/>
          <w:bCs w:val="false"/>
          <w:i w:val="false"/>
          <w:iCs w:val="false"/>
          <w:color w:val="1F2937"/>
          <w:sz w:val="22"/>
          <w:szCs w:val="22"/>
        </w:rPr>
        <w:t xml:space="preserve">•  </w:t>
      </w:r>
      <w:r>
        <w:rPr>
          <w:rFonts w:ascii="Calibri" w:cs="Calibri" w:eastAsia="Calibri" w:hAnsi="Calibri"/>
          <w:b/>
          <w:bCs/>
          <w:i w:val="false"/>
          <w:iCs w:val="false"/>
          <w:color w:val="1F2937"/>
          <w:sz w:val="22"/>
          <w:szCs w:val="22"/>
        </w:rPr>
        <w:t xml:space="preserve">Sécurité du DUI (art. 32) : </w:t>
      </w:r>
      <w:r>
        <w:rPr>
          <w:rFonts w:ascii="Calibri" w:cs="Calibri" w:eastAsia="Calibri" w:hAnsi="Calibri"/>
          <w:b w:val="false"/>
          <w:bCs w:val="false"/>
          <w:i w:val="false"/>
          <w:iCs w:val="false"/>
          <w:color w:val="1F2937"/>
          <w:sz w:val="22"/>
          <w:szCs w:val="22"/>
        </w:rPr>
        <w:t xml:space="preserve">la sanction FREE confirme que les failles de sécurité et les violations de données sont le premier motif d'amende. Vérifier chiffrement, gestion des accès, journalisation et procédure de notification sous 72 h.</w:t>
      </w:r>
    </w:p>
    <w:p>
      <w:pPr>
        <w:spacing w:after="80"/>
        <w:ind w:left="360" w:hanging="220"/>
      </w:pPr>
      <w:r>
        <w:rPr>
          <w:rFonts w:ascii="Calibri" w:cs="Calibri" w:eastAsia="Calibri" w:hAnsi="Calibri"/>
          <w:b w:val="false"/>
          <w:bCs w:val="false"/>
          <w:i w:val="false"/>
          <w:iCs w:val="false"/>
          <w:color w:val="1F2937"/>
          <w:sz w:val="22"/>
          <w:szCs w:val="22"/>
        </w:rPr>
        <w:t xml:space="preserve">•  </w:t>
      </w:r>
      <w:r>
        <w:rPr>
          <w:rFonts w:ascii="Calibri" w:cs="Calibri" w:eastAsia="Calibri" w:hAnsi="Calibri"/>
          <w:b/>
          <w:bCs/>
          <w:i w:val="false"/>
          <w:iCs w:val="false"/>
          <w:color w:val="1F2937"/>
          <w:sz w:val="22"/>
          <w:szCs w:val="22"/>
        </w:rPr>
        <w:t xml:space="preserve">Données de santé : </w:t>
      </w:r>
      <w:r>
        <w:rPr>
          <w:rFonts w:ascii="Calibri" w:cs="Calibri" w:eastAsia="Calibri" w:hAnsi="Calibri"/>
          <w:b w:val="false"/>
          <w:bCs w:val="false"/>
          <w:i w:val="false"/>
          <w:iCs w:val="false"/>
          <w:color w:val="1F2937"/>
          <w:sz w:val="22"/>
          <w:szCs w:val="22"/>
        </w:rPr>
        <w:t xml:space="preserve">s'aligner sur les méthodologies de référence (MR) et l'hébergement HDS pour toute donnée de santé de la personne accompagnée ; tracer les autorisations.</w:t>
      </w:r>
    </w:p>
    <w:p>
      <w:pPr>
        <w:spacing w:after="80"/>
        <w:ind w:left="360" w:hanging="220"/>
      </w:pPr>
      <w:r>
        <w:rPr>
          <w:rFonts w:ascii="Calibri" w:cs="Calibri" w:eastAsia="Calibri" w:hAnsi="Calibri"/>
          <w:b w:val="false"/>
          <w:bCs w:val="false"/>
          <w:i w:val="false"/>
          <w:iCs w:val="false"/>
          <w:color w:val="1F2937"/>
          <w:sz w:val="22"/>
          <w:szCs w:val="22"/>
        </w:rPr>
        <w:t xml:space="preserve">•  </w:t>
      </w:r>
      <w:r>
        <w:rPr>
          <w:rFonts w:ascii="Calibri" w:cs="Calibri" w:eastAsia="Calibri" w:hAnsi="Calibri"/>
          <w:b/>
          <w:bCs/>
          <w:i w:val="false"/>
          <w:iCs w:val="false"/>
          <w:color w:val="1F2937"/>
          <w:sz w:val="22"/>
          <w:szCs w:val="22"/>
        </w:rPr>
        <w:t xml:space="preserve">IA &amp; scraping : </w:t>
      </w:r>
      <w:r>
        <w:rPr>
          <w:rFonts w:ascii="Calibri" w:cs="Calibri" w:eastAsia="Calibri" w:hAnsi="Calibri"/>
          <w:b w:val="false"/>
          <w:bCs w:val="false"/>
          <w:i w:val="false"/>
          <w:iCs w:val="false"/>
          <w:color w:val="1F2937"/>
          <w:sz w:val="22"/>
          <w:szCs w:val="22"/>
        </w:rPr>
        <w:t xml:space="preserve">les nouvelles lignes directrices EDPB (web scraping / IA générative) concernent tout projet d'outil d'IA nourri de données — prudence sur la base légale et les catégories particulières de données.</w:t>
      </w:r>
    </w:p>
    <w:p>
      <w:pPr>
        <w:spacing w:after="80"/>
        <w:ind w:left="360" w:hanging="220"/>
      </w:pPr>
      <w:r>
        <w:rPr>
          <w:rFonts w:ascii="Calibri" w:cs="Calibri" w:eastAsia="Calibri" w:hAnsi="Calibri"/>
          <w:b w:val="false"/>
          <w:bCs w:val="false"/>
          <w:i w:val="false"/>
          <w:iCs w:val="false"/>
          <w:color w:val="1F2937"/>
          <w:sz w:val="22"/>
          <w:szCs w:val="22"/>
        </w:rPr>
        <w:t xml:space="preserve">•  </w:t>
      </w:r>
      <w:r>
        <w:rPr>
          <w:rFonts w:ascii="Calibri" w:cs="Calibri" w:eastAsia="Calibri" w:hAnsi="Calibri"/>
          <w:b/>
          <w:bCs/>
          <w:i w:val="false"/>
          <w:iCs w:val="false"/>
          <w:color w:val="1F2937"/>
          <w:sz w:val="22"/>
          <w:szCs w:val="22"/>
        </w:rPr>
        <w:t xml:space="preserve">Registre &amp; durées : </w:t>
      </w:r>
      <w:r>
        <w:rPr>
          <w:rFonts w:ascii="Calibri" w:cs="Calibri" w:eastAsia="Calibri" w:hAnsi="Calibri"/>
          <w:b w:val="false"/>
          <w:bCs w:val="false"/>
          <w:i w:val="false"/>
          <w:iCs w:val="false"/>
          <w:color w:val="1F2937"/>
          <w:sz w:val="22"/>
          <w:szCs w:val="22"/>
        </w:rPr>
        <w:t xml:space="preserve">profiter de la dynamique « simplification » (EDPB) pour actualiser registre des traitements, durées de conservation et information des personnes accompagnées.</w:t>
      </w:r>
    </w:p>
    <w:p>
      <w:pPr>
        <w:pBdr>
          <w:bottom w:val="single" w:color="1B3A6B" w:sz="6" w:space="4"/>
        </w:pBdr>
        <w:spacing w:after="120" w:before="260"/>
      </w:pPr>
      <w:r>
        <w:rPr>
          <w:rFonts w:ascii="Calibri" w:cs="Calibri" w:eastAsia="Calibri" w:hAnsi="Calibri"/>
          <w:b/>
          <w:bCs/>
          <w:i w:val="false"/>
          <w:iCs w:val="false"/>
          <w:color w:val="1B3A6B"/>
          <w:sz w:val="28"/>
          <w:szCs w:val="28"/>
        </w:rPr>
        <w:t xml:space="preserve">📚 Sources du jour</w:t>
      </w:r>
    </w:p>
    <w:p>
      <w:pPr>
        <w:spacing w:after="80"/>
        <w:ind w:left="360" w:hanging="220"/>
      </w:pPr>
      <w:r>
        <w:rPr>
          <w:rFonts w:ascii="Calibri" w:cs="Calibri" w:eastAsia="Calibri" w:hAnsi="Calibri"/>
          <w:b w:val="false"/>
          <w:bCs w:val="false"/>
          <w:i w:val="false"/>
          <w:iCs w:val="false"/>
          <w:color w:val="1F2937"/>
          <w:sz w:val="22"/>
          <w:szCs w:val="22"/>
        </w:rPr>
        <w:t xml:space="preserve">✅ </w:t>
      </w:r>
      <w:hyperlink w:history="1" r:id="rIdgnc2jusjcbdoj1cyklf3l">
        <w:r>
          <w:rPr>
            <w:rFonts w:ascii="Calibri" w:cs="Calibri" w:eastAsia="Calibri" w:hAnsi="Calibri"/>
            <w:b w:val="false"/>
            <w:bCs w:val="false"/>
            <w:i w:val="false"/>
            <w:iCs w:val="false"/>
            <w:color w:val="1155CC"/>
            <w:sz w:val="22"/>
            <w:szCs w:val="22"/>
          </w:rPr>
          <w:t xml:space="preserve">CNIL — Sanction FREE / FREE MOBILE (2026)</w:t>
        </w:r>
      </w:hyperlink>
      <w:r>
        <w:rPr>
          <w:rFonts w:ascii="Calibri" w:cs="Calibri" w:eastAsia="Calibri" w:hAnsi="Calibri"/>
          <w:b w:val="false"/>
          <w:bCs w:val="false"/>
          <w:i w:val="false"/>
          <w:iCs w:val="false"/>
          <w:color w:val="1F2937"/>
          <w:sz w:val="22"/>
          <w:szCs w:val="22"/>
        </w:rPr>
        <w:t xml:space="preserve"> — amende 42 M€, sécurité &amp; violation de données</w:t>
      </w:r>
    </w:p>
    <w:p>
      <w:pPr>
        <w:spacing w:after="80"/>
        <w:ind w:left="360" w:hanging="220"/>
      </w:pPr>
      <w:r>
        <w:rPr>
          <w:rFonts w:ascii="Calibri" w:cs="Calibri" w:eastAsia="Calibri" w:hAnsi="Calibri"/>
          <w:b w:val="false"/>
          <w:bCs w:val="false"/>
          <w:i w:val="false"/>
          <w:iCs w:val="false"/>
          <w:color w:val="1F2937"/>
          <w:sz w:val="22"/>
          <w:szCs w:val="22"/>
        </w:rPr>
        <w:t xml:space="preserve">✅ </w:t>
      </w:r>
      <w:hyperlink w:history="1" r:id="rIdqdokdceoau7i2jlybu31a">
        <w:r>
          <w:rPr>
            <w:rFonts w:ascii="Calibri" w:cs="Calibri" w:eastAsia="Calibri" w:hAnsi="Calibri"/>
            <w:b w:val="false"/>
            <w:bCs w:val="false"/>
            <w:i w:val="false"/>
            <w:iCs w:val="false"/>
            <w:color w:val="1155CC"/>
            <w:sz w:val="22"/>
            <w:szCs w:val="22"/>
          </w:rPr>
          <w:t xml:space="preserve">CNIL — Sanction KASPR (240 000 €, aspiration de données)</w:t>
        </w:r>
      </w:hyperlink>
      <w:r>
        <w:rPr>
          <w:rFonts w:ascii="Calibri" w:cs="Calibri" w:eastAsia="Calibri" w:hAnsi="Calibri"/>
          <w:b w:val="false"/>
          <w:bCs w:val="false"/>
          <w:i w:val="false"/>
          <w:iCs w:val="false"/>
          <w:color w:val="1F2937"/>
          <w:sz w:val="22"/>
          <w:szCs w:val="22"/>
        </w:rPr>
        <w:t xml:space="preserve"> — scraping sans base légale</w:t>
      </w:r>
    </w:p>
    <w:p>
      <w:pPr>
        <w:spacing w:after="80"/>
        <w:ind w:left="360" w:hanging="220"/>
      </w:pPr>
      <w:r>
        <w:rPr>
          <w:rFonts w:ascii="Calibri" w:cs="Calibri" w:eastAsia="Calibri" w:hAnsi="Calibri"/>
          <w:b w:val="false"/>
          <w:bCs w:val="false"/>
          <w:i w:val="false"/>
          <w:iCs w:val="false"/>
          <w:color w:val="1F2937"/>
          <w:sz w:val="22"/>
          <w:szCs w:val="22"/>
        </w:rPr>
        <w:t xml:space="preserve">✅ </w:t>
      </w:r>
      <w:hyperlink w:history="1" r:id="rIdffcuul8sdvdlwhlihbtpn">
        <w:r>
          <w:rPr>
            <w:rFonts w:ascii="Calibri" w:cs="Calibri" w:eastAsia="Calibri" w:hAnsi="Calibri"/>
            <w:b w:val="false"/>
            <w:bCs w:val="false"/>
            <w:i w:val="false"/>
            <w:iCs w:val="false"/>
            <w:color w:val="1155CC"/>
            <w:sz w:val="22"/>
            <w:szCs w:val="22"/>
          </w:rPr>
          <w:t xml:space="preserve">CNIL — Actualités</w:t>
        </w:r>
      </w:hyperlink>
      <w:r>
        <w:rPr>
          <w:rFonts w:ascii="Calibri" w:cs="Calibri" w:eastAsia="Calibri" w:hAnsi="Calibri"/>
          <w:b w:val="false"/>
          <w:bCs w:val="false"/>
          <w:i w:val="false"/>
          <w:iCs w:val="false"/>
          <w:color w:val="1F2937"/>
          <w:sz w:val="22"/>
          <w:szCs w:val="22"/>
        </w:rPr>
        <w:t xml:space="preserve"> — communiqués, sanctions, procédure simplifiée</w:t>
      </w:r>
    </w:p>
    <w:p>
      <w:pPr>
        <w:spacing w:after="80"/>
        <w:ind w:left="360" w:hanging="220"/>
      </w:pPr>
      <w:r>
        <w:rPr>
          <w:rFonts w:ascii="Calibri" w:cs="Calibri" w:eastAsia="Calibri" w:hAnsi="Calibri"/>
          <w:b w:val="false"/>
          <w:bCs w:val="false"/>
          <w:i w:val="false"/>
          <w:iCs w:val="false"/>
          <w:color w:val="1F2937"/>
          <w:sz w:val="22"/>
          <w:szCs w:val="22"/>
        </w:rPr>
        <w:t xml:space="preserve">✅ </w:t>
      </w:r>
      <w:hyperlink w:history="1" r:id="rIdilkmcp8t9hnftxg7hl0fi">
        <w:r>
          <w:rPr>
            <w:rFonts w:ascii="Calibri" w:cs="Calibri" w:eastAsia="Calibri" w:hAnsi="Calibri"/>
            <w:b w:val="false"/>
            <w:bCs w:val="false"/>
            <w:i w:val="false"/>
            <w:iCs w:val="false"/>
            <w:color w:val="1155CC"/>
            <w:sz w:val="22"/>
            <w:szCs w:val="22"/>
          </w:rPr>
          <w:t xml:space="preserve">EDPB — Anonymisation, web scraping (IA générative) &amp; blockchain</w:t>
        </w:r>
      </w:hyperlink>
      <w:r>
        <w:rPr>
          <w:rFonts w:ascii="Calibri" w:cs="Calibri" w:eastAsia="Calibri" w:hAnsi="Calibri"/>
          <w:b w:val="false"/>
          <w:bCs w:val="false"/>
          <w:i w:val="false"/>
          <w:iCs w:val="false"/>
          <w:color w:val="1F2937"/>
          <w:sz w:val="22"/>
          <w:szCs w:val="22"/>
        </w:rPr>
        <w:t xml:space="preserve"> — lignes directrices adoptées le 8 juillet 2026</w:t>
      </w:r>
    </w:p>
    <w:p>
      <w:pPr>
        <w:spacing w:after="80"/>
        <w:ind w:left="360" w:hanging="220"/>
      </w:pPr>
      <w:r>
        <w:rPr>
          <w:rFonts w:ascii="Calibri" w:cs="Calibri" w:eastAsia="Calibri" w:hAnsi="Calibri"/>
          <w:b w:val="false"/>
          <w:bCs w:val="false"/>
          <w:i w:val="false"/>
          <w:iCs w:val="false"/>
          <w:color w:val="1F2937"/>
          <w:sz w:val="22"/>
          <w:szCs w:val="22"/>
        </w:rPr>
        <w:t xml:space="preserve">✅ </w:t>
      </w:r>
      <w:hyperlink w:history="1" r:id="rIdcrblggwyuevglmndafict">
        <w:r>
          <w:rPr>
            <w:rFonts w:ascii="Calibri" w:cs="Calibri" w:eastAsia="Calibri" w:hAnsi="Calibri"/>
            <w:b w:val="false"/>
            <w:bCs w:val="false"/>
            <w:i w:val="false"/>
            <w:iCs w:val="false"/>
            <w:color w:val="1155CC"/>
            <w:sz w:val="22"/>
            <w:szCs w:val="22"/>
          </w:rPr>
          <w:t xml:space="preserve">Village-Justice — Nouvelle sanction CNIL en matière de données de santé</w:t>
        </w:r>
      </w:hyperlink>
      <w:r>
        <w:rPr>
          <w:rFonts w:ascii="Calibri" w:cs="Calibri" w:eastAsia="Calibri" w:hAnsi="Calibri"/>
          <w:b w:val="false"/>
          <w:bCs w:val="false"/>
          <w:i w:val="false"/>
          <w:iCs w:val="false"/>
          <w:color w:val="1F2937"/>
          <w:sz w:val="22"/>
          <w:szCs w:val="22"/>
        </w:rPr>
        <w:t xml:space="preserve"> — analyse (IQVIA, données de santé)</w:t>
      </w:r>
    </w:p>
    <w:p>
      <w:pPr>
        <w:spacing w:after="80"/>
        <w:ind w:left="360" w:hanging="220"/>
      </w:pPr>
      <w:r>
        <w:rPr>
          <w:rFonts w:ascii="Calibri" w:cs="Calibri" w:eastAsia="Calibri" w:hAnsi="Calibri"/>
          <w:b w:val="false"/>
          <w:bCs w:val="false"/>
          <w:i w:val="false"/>
          <w:iCs w:val="false"/>
          <w:color w:val="1F2937"/>
          <w:sz w:val="22"/>
          <w:szCs w:val="22"/>
        </w:rPr>
        <w:t xml:space="preserve">⛔ </w:t>
      </w:r>
      <w:hyperlink w:history="1" r:id="rIdxd_lyw1t0qw-gae1nt03u">
        <w:r>
          <w:rPr>
            <w:rFonts w:ascii="Calibri" w:cs="Calibri" w:eastAsia="Calibri" w:hAnsi="Calibri"/>
            <w:b w:val="false"/>
            <w:bCs w:val="false"/>
            <w:i w:val="false"/>
            <w:iCs w:val="false"/>
            <w:color w:val="1155CC"/>
            <w:sz w:val="22"/>
            <w:szCs w:val="22"/>
          </w:rPr>
          <w:t xml:space="preserve">EDPS — actualités (non consulté ce jour)</w:t>
        </w:r>
      </w:hyperlink>
      <w:r>
        <w:rPr>
          <w:rFonts w:ascii="Calibri" w:cs="Calibri" w:eastAsia="Calibri" w:hAnsi="Calibri"/>
          <w:b w:val="false"/>
          <w:bCs w:val="false"/>
          <w:i w:val="false"/>
          <w:iCs w:val="false"/>
          <w:color w:val="1F2937"/>
          <w:sz w:val="22"/>
          <w:szCs w:val="22"/>
        </w:rPr>
        <w:t xml:space="preserve"> — à vérifier au prochain CR</w:t>
      </w:r>
    </w:p>
    <w:p>
      <w:pPr>
        <w:spacing w:after="80"/>
        <w:ind w:left="360" w:hanging="220"/>
      </w:pPr>
      <w:r>
        <w:rPr>
          <w:rFonts w:ascii="Calibri" w:cs="Calibri" w:eastAsia="Calibri" w:hAnsi="Calibri"/>
          <w:b w:val="false"/>
          <w:bCs w:val="false"/>
          <w:i w:val="false"/>
          <w:iCs w:val="false"/>
          <w:color w:val="1F2937"/>
          <w:sz w:val="22"/>
          <w:szCs w:val="22"/>
        </w:rPr>
        <w:t xml:space="preserve">⛔ </w:t>
      </w:r>
      <w:hyperlink w:history="1" r:id="rIdiqp4msj_bpoiskzfo9dss">
        <w:r>
          <w:rPr>
            <w:rFonts w:ascii="Calibri" w:cs="Calibri" w:eastAsia="Calibri" w:hAnsi="Calibri"/>
            <w:b w:val="false"/>
            <w:bCs w:val="false"/>
            <w:i w:val="false"/>
            <w:iCs w:val="false"/>
            <w:color w:val="1155CC"/>
            <w:sz w:val="22"/>
            <w:szCs w:val="22"/>
          </w:rPr>
          <w:t xml:space="preserve">donneespersonnelles.fr (non consulté ce jour)</w:t>
        </w:r>
      </w:hyperlink>
      <w:r>
        <w:rPr>
          <w:rFonts w:ascii="Calibri" w:cs="Calibri" w:eastAsia="Calibri" w:hAnsi="Calibri"/>
          <w:b w:val="false"/>
          <w:bCs w:val="false"/>
          <w:i w:val="false"/>
          <w:iCs w:val="false"/>
          <w:color w:val="1F2937"/>
          <w:sz w:val="22"/>
          <w:szCs w:val="22"/>
        </w:rPr>
        <w:t xml:space="preserve"> — veille praticiens — à vérifier au prochain CR</w:t>
      </w:r>
    </w:p>
    <w:p>
      <w:pPr>
        <w:pBdr>
          <w:bottom w:val="single" w:color="1B3A6B" w:sz="6" w:space="4"/>
        </w:pBdr>
        <w:spacing w:after="120" w:before="260"/>
      </w:pPr>
      <w:r>
        <w:rPr>
          <w:rFonts w:ascii="Calibri" w:cs="Calibri" w:eastAsia="Calibri" w:hAnsi="Calibri"/>
          <w:b/>
          <w:bCs/>
          <w:i w:val="false"/>
          <w:iCs w:val="false"/>
          <w:color w:val="1B3A6B"/>
          <w:sz w:val="28"/>
          <w:szCs w:val="28"/>
        </w:rPr>
        <w:t xml:space="preserve">🔜 À surveiller demain</w:t>
      </w:r>
    </w:p>
    <w:p>
      <w:pPr>
        <w:spacing w:after="80"/>
        <w:ind w:left="360" w:hanging="220"/>
      </w:pPr>
      <w:r>
        <w:rPr>
          <w:rFonts w:ascii="Calibri" w:cs="Calibri" w:eastAsia="Calibri" w:hAnsi="Calibri"/>
          <w:b w:val="false"/>
          <w:bCs w:val="false"/>
          <w:i w:val="false"/>
          <w:iCs w:val="false"/>
          <w:color w:val="1F2937"/>
          <w:sz w:val="22"/>
          <w:szCs w:val="22"/>
        </w:rPr>
        <w:t xml:space="preserve">•  </w:t>
      </w:r>
      <w:r>
        <w:rPr>
          <w:rFonts w:ascii="Calibri" w:cs="Calibri" w:eastAsia="Calibri" w:hAnsi="Calibri"/>
          <w:b w:val="false"/>
          <w:bCs w:val="false"/>
          <w:i w:val="false"/>
          <w:iCs w:val="false"/>
          <w:color w:val="1F2937"/>
          <w:sz w:val="22"/>
          <w:szCs w:val="22"/>
        </w:rPr>
        <w:t xml:space="preserve">Consultation publique EDPB (anonymisation &amp; web scraping IA) : contributions ouvertes jusqu'au 30 octobre 2026.</w:t>
      </w:r>
    </w:p>
    <w:p>
      <w:pPr>
        <w:spacing w:after="80"/>
        <w:ind w:left="360" w:hanging="220"/>
      </w:pPr>
      <w:r>
        <w:rPr>
          <w:rFonts w:ascii="Calibri" w:cs="Calibri" w:eastAsia="Calibri" w:hAnsi="Calibri"/>
          <w:b w:val="false"/>
          <w:bCs w:val="false"/>
          <w:i w:val="false"/>
          <w:iCs w:val="false"/>
          <w:color w:val="1F2937"/>
          <w:sz w:val="22"/>
          <w:szCs w:val="22"/>
        </w:rPr>
        <w:t xml:space="preserve">•  </w:t>
      </w:r>
      <w:r>
        <w:rPr>
          <w:rFonts w:ascii="Calibri" w:cs="Calibri" w:eastAsia="Calibri" w:hAnsi="Calibri"/>
          <w:b w:val="false"/>
          <w:bCs w:val="false"/>
          <w:i w:val="false"/>
          <w:iCs w:val="false"/>
          <w:color w:val="1F2937"/>
          <w:sz w:val="22"/>
          <w:szCs w:val="22"/>
        </w:rPr>
        <w:t xml:space="preserve">Publication CNIL du document consolidé sur le dossier patient informatisé (DPI), attendue en 2026.</w:t>
      </w:r>
    </w:p>
    <w:p>
      <w:pPr>
        <w:spacing w:after="80"/>
        <w:ind w:left="360" w:hanging="220"/>
      </w:pPr>
      <w:r>
        <w:rPr>
          <w:rFonts w:ascii="Calibri" w:cs="Calibri" w:eastAsia="Calibri" w:hAnsi="Calibri"/>
          <w:b w:val="false"/>
          <w:bCs w:val="false"/>
          <w:i w:val="false"/>
          <w:iCs w:val="false"/>
          <w:color w:val="1F2937"/>
          <w:sz w:val="22"/>
          <w:szCs w:val="22"/>
        </w:rPr>
        <w:t xml:space="preserve">•  </w:t>
      </w:r>
      <w:r>
        <w:rPr>
          <w:rFonts w:ascii="Calibri" w:cs="Calibri" w:eastAsia="Calibri" w:hAnsi="Calibri"/>
          <w:b w:val="false"/>
          <w:bCs w:val="false"/>
          <w:i w:val="false"/>
          <w:iCs w:val="false"/>
          <w:color w:val="1F2937"/>
          <w:sz w:val="22"/>
          <w:szCs w:val="22"/>
        </w:rPr>
        <w:t xml:space="preserve">Suite de la procédure simplifiée (nouvelles sanctions vidéosurveillance / cookies).</w:t>
      </w:r>
    </w:p>
    <w:p>
      <w:pPr>
        <w:pBdr>
          <w:top w:val="single" w:color="1B3A6B" w:sz="6" w:space="6"/>
        </w:pBdr>
        <w:spacing w:before="240"/>
      </w:pPr>
      <w:r>
        <w:rPr>
          <w:rFonts w:ascii="Calibri" w:cs="Calibri" w:eastAsia="Calibri" w:hAnsi="Calibri"/>
          <w:b w:val="false"/>
          <w:bCs w:val="false"/>
          <w:i/>
          <w:iCs/>
          <w:color w:val="6B7280"/>
          <w:sz w:val="18"/>
          <w:szCs w:val="18"/>
        </w:rPr>
        <w:t xml:space="preserve">Compte-rendu produit le 11 juillet 2026 (rattrapage manuel). Mode headless WebSearch — 4 sources exploitées sur 7. Niveau d'alerte : 🟡 À surveiller.</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nc2jusjcbdoj1cyklf3l" Type="http://schemas.openxmlformats.org/officeDocument/2006/relationships/hyperlink" Target="https://www.cnil.fr/fr/sanction-free-2026" TargetMode="External"/><Relationship Id="rIdqdokdceoau7i2jlybu31a" Type="http://schemas.openxmlformats.org/officeDocument/2006/relationships/hyperlink" Target="https://www.cnil.fr/fr/aspiration-de-donnees-sanction-de-240-000-euros-lencontre-de-la-societe-kaspr" TargetMode="External"/><Relationship Id="rIdffcuul8sdvdlwhlihbtpn" Type="http://schemas.openxmlformats.org/officeDocument/2006/relationships/hyperlink" Target="https://www.cnil.fr/fr/actualites" TargetMode="External"/><Relationship Id="rIdilkmcp8t9hnftxg7hl0fi" Type="http://schemas.openxmlformats.org/officeDocument/2006/relationships/hyperlink" Target="https://www.edpb.europa.eu/news/edpb-sheds-light-on-anonymisation-and-web-scraping-for-generative-ai-and-adopts-final-version_en" TargetMode="External"/><Relationship Id="rIdcrblggwyuevglmndafict" Type="http://schemas.openxmlformats.org/officeDocument/2006/relationships/hyperlink" Target="https://www.village-justice.com/articles/nouvelle-sanction-cnil-matiere-donnees-sante-quels-enseignements-tirer,57661.html" TargetMode="External"/><Relationship Id="rIdxd_lyw1t0qw-gae1nt03u" Type="http://schemas.openxmlformats.org/officeDocument/2006/relationships/hyperlink" Target="https://www.edps.europa.eu/press-publications/press-news/news_en" TargetMode="External"/><Relationship Id="rIdiqp4msj_bpoiskzfo9dss" Type="http://schemas.openxmlformats.org/officeDocument/2006/relationships/hyperlink" Target="https://www.donneespersonnelles.fr/"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2026-07-11T21:44:07.716Z</dcterms:created>
  <dcterms:modified xsi:type="dcterms:W3CDTF">2026-07-11T21:44:07.716Z</dcterms:modified>
</cp:coreProperties>
</file>

<file path=docProps/custom.xml><?xml version="1.0" encoding="utf-8"?>
<Properties xmlns="http://schemas.openxmlformats.org/officeDocument/2006/custom-properties" xmlns:vt="http://schemas.openxmlformats.org/officeDocument/2006/docPropsVTypes"/>
</file>