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B3A6B"/>
          <w:sz w:val="52"/>
          <w:szCs w:val="52"/>
        </w:rPr>
        <w:t xml:space="preserve">Leçon Placement financier n°14</w:t>
      </w:r>
    </w:p>
    <w:p>
      <w:pPr>
        <w:spacing w:after="60" w:before="0"/>
        <w:jc w:val="center"/>
      </w:pPr>
      <w:r>
        <w:rPr>
          <w:rFonts w:ascii="Times New Roman" w:cs="Times New Roman" w:eastAsia="Times New Roman" w:hAnsi="Times New Roman"/>
          <w:b/>
          <w:bCs/>
          <w:color w:val="1B3A6B"/>
          <w:sz w:val="52"/>
          <w:szCs w:val="52"/>
        </w:rPr>
        <w:t xml:space="preserve">Gestion libre, gestion pilotée,</w:t>
      </w:r>
    </w:p>
    <w:p>
      <w:pPr>
        <w:spacing w:after="60" w:before="0"/>
        <w:jc w:val="center"/>
      </w:pPr>
      <w:r>
        <w:rPr>
          <w:rFonts w:ascii="Times New Roman" w:cs="Times New Roman" w:eastAsia="Times New Roman" w:hAnsi="Times New Roman"/>
          <w:b/>
          <w:bCs/>
          <w:color w:val="1B3A6B"/>
          <w:sz w:val="52"/>
          <w:szCs w:val="52"/>
        </w:rPr>
        <w:t xml:space="preserve">mandat d'arbitrage</w:t>
      </w:r>
    </w:p>
    <w:p>
      <w:pPr>
        <w:spacing w:after="200" w:before="60"/>
        <w:jc w:val="center"/>
      </w:pPr>
      <w:r>
        <w:rPr>
          <w:rFonts w:ascii="Times New Roman" w:cs="Times New Roman" w:eastAsia="Times New Roman" w:hAnsi="Times New Roman"/>
          <w:i/>
          <w:iCs/>
          <w:color w:val="6B7280"/>
          <w:sz w:val="20"/>
          <w:szCs w:val="20"/>
        </w:rPr>
        <w:t xml:space="preserve">12 septembre 2026  ·  Leçon 14 / 20</w:t>
      </w:r>
    </w:p>
    <w:p>
      <w:pPr>
        <w:spacing w:after="100" w:before="320"/>
      </w:pPr>
      <w:r>
        <w:rPr>
          <w:rFonts w:ascii="Times New Roman" w:cs="Times New Roman" w:eastAsia="Times New Roman" w:hAnsi="Times New Roman"/>
          <w:b/>
          <w:bCs/>
          <w:color w:val="1B3A6B"/>
          <w:sz w:val="30"/>
          <w:szCs w:val="30"/>
        </w:rPr>
        <w:t xml:space="preserve">🎯 Objectif &amp; continuité</w:t>
      </w:r>
    </w:p>
    <w:p>
      <w:pPr>
        <w:spacing w:after="80"/>
      </w:pPr>
      <w:r>
        <w:rPr>
          <w:rFonts w:ascii="Times New Roman" w:cs="Times New Roman" w:eastAsia="Times New Roman" w:hAnsi="Times New Roman"/>
          <w:color w:val="1F2937"/>
          <w:sz w:val="22"/>
          <w:szCs w:val="22"/>
        </w:rPr>
        <w:t xml:space="preserve">À l'issue de cette leçon, tu sauras distinguer les trois grands modes de gestion d'un portefeuille au sein des enveloppes françaises (assurance-vie, PER), comprendre ce que tu signes dans une convention de mandat d'arbitrage, et évaluer l'effet de l'empilement des frais de délégation sur ton horizon de placement.</w:t>
      </w:r>
    </w:p>
    <w:p>
      <w:pPr>
        <w:spacing w:after="80"/>
      </w:pPr>
      <w:r>
        <w:rPr>
          <w:rFonts w:ascii="Times New Roman" w:cs="Times New Roman" w:eastAsia="Times New Roman" w:hAnsi="Times New Roman"/>
          <w:color w:val="1F2937"/>
          <w:sz w:val="22"/>
          <w:szCs w:val="22"/>
        </w:rPr>
        <w:t xml:space="preserve">Continuité : la leçon n°13 a montré comment les ETF permettent une réplication d'indice à faibles frais. La question qui suit naturellement est : une fois ton allocation choisie, qui pilote le portefeuille — toi ou quelqu'un d'autre — et à quel coût ?</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Rappel</w:t>
      </w:r>
    </w:p>
    <w:p>
      <w:pPr>
        <w:pBdr>
          <w:left w:val="single" w:color="FCD34D" w:sz="16" w:space="180"/>
        </w:pBdr>
        <w:shd w:fill="FFFBEB" w:color="auto" w:val="clear"/>
        <w:spacing w:after="80" w:before="80"/>
        <w:ind w:left="200" w:right="200"/>
      </w:pPr>
      <w:r>
        <w:rPr>
          <w:rFonts w:ascii="Times New Roman" w:cs="Times New Roman" w:eastAsia="Times New Roman" w:hAnsi="Times New Roman"/>
          <w:color w:val="1F2937"/>
          <w:sz w:val="22"/>
          <w:szCs w:val="22"/>
        </w:rPr>
        <w:t xml:space="preserve">Cette leçon relève de l'éducation financière générale et ne constitue en aucun cas un conseil en investissement personnalisé. Tout placement sur des supports en unités de compte comporte un risque de perte en capital. Pour toute décision patrimoniale, consulter un conseiller en gestion de patrimoine (CGP) ou un conseiller en investissements financiers (CIF) agréé.</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Théorie (20 %) — Les trois modes de gestion</w:t>
      </w:r>
    </w:p>
    <w:p>
      <w:pPr>
        <w:spacing w:after="80" w:before="220"/>
      </w:pPr>
      <w:r>
        <w:rPr>
          <w:rFonts w:ascii="Times New Roman" w:cs="Times New Roman" w:eastAsia="Times New Roman" w:hAnsi="Times New Roman"/>
          <w:b/>
          <w:bCs/>
          <w:color w:val="1F2937"/>
          <w:sz w:val="26"/>
          <w:szCs w:val="26"/>
        </w:rPr>
        <w:t xml:space="preserve">1. La gestion libre</w:t>
      </w:r>
    </w:p>
    <w:p>
      <w:pPr>
        <w:spacing w:after="80"/>
      </w:pPr>
      <w:r>
        <w:rPr>
          <w:rFonts w:ascii="Times New Roman" w:cs="Times New Roman" w:eastAsia="Times New Roman" w:hAnsi="Times New Roman"/>
          <w:color w:val="1F2937"/>
          <w:sz w:val="22"/>
          <w:szCs w:val="22"/>
        </w:rPr>
        <w:t xml:space="preserve">En gestion libre, l'épargnant choisit lui-même chaque support d'investissement et décide seul de tous ses arbitrages. Il n'y a aucun frais supplémentaire lié à une délégation : seuls s'appliquent les frais de gestion du contrat et les frais propres à chaque support.</w:t>
      </w:r>
    </w:p>
    <w:p>
      <w:pPr>
        <w:spacing w:after="80"/>
      </w:pPr>
      <w:r>
        <w:rPr>
          <w:rFonts w:ascii="Times New Roman" w:cs="Times New Roman" w:eastAsia="Times New Roman" w:hAnsi="Times New Roman"/>
          <w:color w:val="1F2937"/>
          <w:sz w:val="22"/>
          <w:szCs w:val="22"/>
        </w:rPr>
        <w:t xml:space="preserve">Sur les frais d'arbitrage en gestion libre, La Finance pour Tous indique (article « Assurance vie : quels sont les frais prélevés ? », mis à jour le 28 juillet 2025) :</w:t>
      </w:r>
    </w:p>
    <w:p>
      <w:pPr>
        <w:pBdr>
          <w:left w:val="single" w:color="BFDBFE" w:sz="16" w:space="180"/>
        </w:pBdr>
        <w:shd w:fill="EFF6FF" w:color="auto" w:val="clear"/>
        <w:spacing w:after="80" w:before="80"/>
        <w:ind w:left="200" w:right="200"/>
      </w:pPr>
      <w:r>
        <w:rPr>
          <w:rFonts w:ascii="Times New Roman" w:cs="Times New Roman" w:eastAsia="Times New Roman" w:hAnsi="Times New Roman"/>
          <w:color w:val="1F2937"/>
          <w:sz w:val="22"/>
          <w:szCs w:val="22"/>
        </w:rPr>
        <w:t xml:space="preserve">« Frais d'arbitrage : ils sont généralement prévus dans les contrats multisupports et sont perçus lors des modifications que vous demandez dans la répartition de votre capital entre les différents supports. Ils sont compris entre 0 % et 1 % du montant de l'opération. »</w:t>
      </w:r>
    </w:p>
    <w:p>
      <w:pPr>
        <w:spacing w:after="80"/>
      </w:pPr>
      <w:r>
        <w:rPr>
          <w:rFonts w:ascii="Times New Roman" w:cs="Times New Roman" w:eastAsia="Times New Roman" w:hAnsi="Times New Roman"/>
          <w:color w:val="1F2937"/>
          <w:sz w:val="22"/>
          <w:szCs w:val="22"/>
        </w:rPr>
        <w:t xml:space="preserve">La gestion libre exige des connaissances sur les classes d'actifs, une discipline pour rééquilibrer régulièrement, et la capacité à ne pas réagir de manière émotionnelle lors des corrections de marché.</w:t>
      </w:r>
    </w:p>
    <w:p>
      <w:pPr>
        <w:spacing w:after="80" w:before="220"/>
      </w:pPr>
      <w:r>
        <w:rPr>
          <w:rFonts w:ascii="Times New Roman" w:cs="Times New Roman" w:eastAsia="Times New Roman" w:hAnsi="Times New Roman"/>
          <w:b/>
          <w:bCs/>
          <w:color w:val="1F2937"/>
          <w:sz w:val="26"/>
          <w:szCs w:val="26"/>
        </w:rPr>
        <w:t xml:space="preserve">2. La gestion pilotée (sous mandat, profilée)</w:t>
      </w:r>
    </w:p>
    <w:p>
      <w:pPr>
        <w:spacing w:after="80"/>
      </w:pPr>
      <w:r>
        <w:rPr>
          <w:rFonts w:ascii="Times New Roman" w:cs="Times New Roman" w:eastAsia="Times New Roman" w:hAnsi="Times New Roman"/>
          <w:color w:val="1F2937"/>
          <w:sz w:val="22"/>
          <w:szCs w:val="22"/>
        </w:rPr>
        <w:t xml:space="preserve">En gestion pilotée, l'épargnant signe une convention de mandat d'arbitrage : il délègue à une société de gestion habilitée le soin de prendre les décisions d'arbitrage entre les supports, selon un profil de risque convenu au départ (prudent, équilibré, dynamique…). La société de gestion rééquilibre automatiquement le portefeuille.</w:t>
      </w:r>
    </w:p>
    <w:p>
      <w:pPr>
        <w:spacing w:after="80"/>
      </w:pPr>
      <w:r>
        <w:rPr>
          <w:rFonts w:ascii="Times New Roman" w:cs="Times New Roman" w:eastAsia="Times New Roman" w:hAnsi="Times New Roman"/>
          <w:color w:val="1F2937"/>
          <w:sz w:val="22"/>
          <w:szCs w:val="22"/>
        </w:rPr>
        <w:t xml:space="preserve">Cadre légal : l'article 35 de la loi Industrie verte (loi n° 2023-973 du 23 octobre 2023) encadre les mandats d'arbitrage dans les contrats d'assurance-vie depuis le 24 octobre 2024. L'AMF a annoncé le 31 mai 2026 que les commissions de mouvement (prélevées à chaque opération d'achat ou de vente dans le cadre du mandat) seront interdites pour les nouveaux mandats à partir du 1er janvier 2027.</w:t>
      </w:r>
    </w:p>
    <w:p>
      <w:pPr>
        <w:spacing w:after="80"/>
        <w:ind w:left="360"/>
      </w:pPr>
      <w:r>
        <w:rPr>
          <w:rFonts w:ascii="Times New Roman" w:cs="Times New Roman" w:eastAsia="Times New Roman" w:hAnsi="Times New Roman"/>
          <w:i/>
          <w:iCs/>
          <w:color w:val="6B7280"/>
          <w:sz w:val="20"/>
          <w:szCs w:val="20"/>
        </w:rPr>
        <w:t xml:space="preserve">Source : AMF, annonce de suppression des commissions de mouvement pour la gestion sous mandat, 31/05/2026.</w:t>
      </w:r>
    </w:p>
    <w:p>
      <w:pPr>
        <w:spacing w:after="80"/>
      </w:pPr>
      <w:r>
        <w:rPr>
          <w:rFonts w:ascii="Times New Roman" w:cs="Times New Roman" w:eastAsia="Times New Roman" w:hAnsi="Times New Roman"/>
          <w:color w:val="1F2937"/>
          <w:sz w:val="22"/>
          <w:szCs w:val="22"/>
        </w:rPr>
        <w:t xml:space="preserve">Les frais en gestion pilotée s'empilent en trois couches :</w:t>
      </w:r>
    </w:p>
    <w:p>
      <w:pPr>
        <w:pStyle w:val="ListParagraph"/>
        <w:numPr>
          <w:ilvl w:val="0"/>
          <w:numId w:val="2"/>
        </w:numPr>
        <w:spacing w:after="60"/>
      </w:pPr>
      <w:r>
        <w:rPr>
          <w:rFonts w:ascii="Times New Roman" w:cs="Times New Roman" w:eastAsia="Times New Roman" w:hAnsi="Times New Roman"/>
          <w:color w:val="1F2937"/>
          <w:sz w:val="22"/>
          <w:szCs w:val="22"/>
        </w:rPr>
        <w:t xml:space="preserve">Frais de gestion du contrat sur les unités de compte</w:t>
      </w:r>
    </w:p>
    <w:p>
      <w:pPr>
        <w:pStyle w:val="ListParagraph"/>
        <w:numPr>
          <w:ilvl w:val="0"/>
          <w:numId w:val="2"/>
        </w:numPr>
        <w:spacing w:after="60"/>
      </w:pPr>
      <w:r>
        <w:rPr>
          <w:rFonts w:ascii="Times New Roman" w:cs="Times New Roman" w:eastAsia="Times New Roman" w:hAnsi="Times New Roman"/>
          <w:color w:val="1F2937"/>
          <w:sz w:val="22"/>
          <w:szCs w:val="22"/>
        </w:rPr>
        <w:t xml:space="preserve">Frais des fonds sous-jacents (souvent des fonds actifs, plus coûteux que des ETF)</w:t>
      </w:r>
    </w:p>
    <w:p>
      <w:pPr>
        <w:pStyle w:val="ListParagraph"/>
        <w:numPr>
          <w:ilvl w:val="0"/>
          <w:numId w:val="2"/>
        </w:numPr>
        <w:spacing w:after="60"/>
      </w:pPr>
      <w:r>
        <w:rPr>
          <w:rFonts w:ascii="Times New Roman" w:cs="Times New Roman" w:eastAsia="Times New Roman" w:hAnsi="Times New Roman"/>
          <w:color w:val="1F2937"/>
          <w:sz w:val="22"/>
          <w:szCs w:val="22"/>
        </w:rPr>
        <w:t xml:space="preserve">Frais de pilotage (ou de mandat) : couche supplémentaire propre à la délégation</w:t>
      </w:r>
    </w:p>
    <w:p>
      <w:pPr>
        <w:pBdr>
          <w:left w:val="single" w:color="FCD34D" w:sz="16" w:space="180"/>
        </w:pBdr>
        <w:shd w:fill="FFFBEB" w:color="auto" w:val="clear"/>
        <w:spacing w:after="80" w:before="80"/>
        <w:ind w:left="200" w:right="200"/>
      </w:pPr>
      <w:r>
        <w:rPr>
          <w:rFonts w:ascii="Times New Roman" w:cs="Times New Roman" w:eastAsia="Times New Roman" w:hAnsi="Times New Roman"/>
          <w:color w:val="1F2937"/>
          <w:sz w:val="22"/>
          <w:szCs w:val="22"/>
        </w:rPr>
        <w:t xml:space="preserve">Point de vigilance (règle A3) : les valeurs précises de frais varient fortement selon les contrats et gestionnaires. Les chiffres de frais de mandat circulent dans la presse financière à partir de sources secondaires. Se référer systématiquement aux documents d'information clé (DIC) de chaque contrat et aux rapports officiels de l'AMF / de l'ACPR pour obtenir des données actualisées et vérifiables.</w:t>
      </w:r>
    </w:p>
    <w:p>
      <w:pPr>
        <w:spacing w:after="80" w:before="220"/>
      </w:pPr>
      <w:r>
        <w:rPr>
          <w:rFonts w:ascii="Times New Roman" w:cs="Times New Roman" w:eastAsia="Times New Roman" w:hAnsi="Times New Roman"/>
          <w:b/>
          <w:bCs/>
          <w:color w:val="1F2937"/>
          <w:sz w:val="26"/>
          <w:szCs w:val="26"/>
        </w:rPr>
        <w:t xml:space="preserve">3. La gestion à horizon (PER) — mode par défaut légal</w:t>
      </w:r>
    </w:p>
    <w:p>
      <w:pPr>
        <w:spacing w:after="80"/>
      </w:pPr>
      <w:r>
        <w:rPr>
          <w:rFonts w:ascii="Times New Roman" w:cs="Times New Roman" w:eastAsia="Times New Roman" w:hAnsi="Times New Roman"/>
          <w:color w:val="1F2937"/>
          <w:sz w:val="22"/>
          <w:szCs w:val="22"/>
        </w:rPr>
        <w:t xml:space="preserve">Dans le Plan d'Épargne Retraite, introduit par la loi PACTE (2019), la gestion à horizon est le mode de gestion par défaut. Selon l'ABE Infoservice (page sur le PER en assurance), ce mode doit permettre de « réduire progressivement le risque financier pour l'adhérent » à mesure que la retraite approche, en réorientant l'épargne vers des supports à risque croissamment faible.</w:t>
      </w:r>
    </w:p>
    <w:p>
      <w:pPr>
        <w:spacing w:after="80"/>
      </w:pPr>
      <w:r>
        <w:rPr>
          <w:rFonts w:ascii="Times New Roman" w:cs="Times New Roman" w:eastAsia="Times New Roman" w:hAnsi="Times New Roman"/>
          <w:color w:val="1F2937"/>
          <w:sz w:val="22"/>
          <w:szCs w:val="22"/>
        </w:rPr>
        <w:t xml:space="preserve">Trois profils sont proposés dans la gestion à horizon du PER (source : ABE Infoservice) :</w:t>
      </w:r>
    </w:p>
    <w:p>
      <w:pPr>
        <w:pStyle w:val="ListParagraph"/>
        <w:numPr>
          <w:ilvl w:val="0"/>
          <w:numId w:val="2"/>
        </w:numPr>
        <w:spacing w:after="60"/>
      </w:pPr>
      <w:r>
        <w:rPr>
          <w:rFonts w:ascii="Times New Roman" w:cs="Times New Roman" w:eastAsia="Times New Roman" w:hAnsi="Times New Roman"/>
          <w:color w:val="1F2937"/>
          <w:sz w:val="22"/>
          <w:szCs w:val="22"/>
        </w:rPr>
        <w:t xml:space="preserve">Prudent horizon retraite — le plus conservateur</w:t>
      </w:r>
    </w:p>
    <w:p>
      <w:pPr>
        <w:pStyle w:val="ListParagraph"/>
        <w:numPr>
          <w:ilvl w:val="0"/>
          <w:numId w:val="2"/>
        </w:numPr>
        <w:spacing w:after="60"/>
      </w:pPr>
      <w:r>
        <w:rPr>
          <w:rFonts w:ascii="Times New Roman" w:cs="Times New Roman" w:eastAsia="Times New Roman" w:hAnsi="Times New Roman"/>
          <w:color w:val="1F2937"/>
          <w:sz w:val="22"/>
          <w:szCs w:val="22"/>
        </w:rPr>
        <w:t xml:space="preserve">Équilibré horizon retraite — profil attribué par défaut si aucun choix n'est exprimé</w:t>
      </w:r>
    </w:p>
    <w:p>
      <w:pPr>
        <w:pStyle w:val="ListParagraph"/>
        <w:numPr>
          <w:ilvl w:val="0"/>
          <w:numId w:val="2"/>
        </w:numPr>
        <w:spacing w:after="60"/>
      </w:pPr>
      <w:r>
        <w:rPr>
          <w:rFonts w:ascii="Times New Roman" w:cs="Times New Roman" w:eastAsia="Times New Roman" w:hAnsi="Times New Roman"/>
          <w:color w:val="1F2937"/>
          <w:sz w:val="22"/>
          <w:szCs w:val="22"/>
        </w:rPr>
        <w:t xml:space="preserve">Dynamique horizon retraite — exposition aux actifs risqués la plus élevée</w:t>
      </w:r>
    </w:p>
    <w:p>
      <w:pPr>
        <w:spacing w:after="80"/>
      </w:pPr>
      <w:r>
        <w:rPr>
          <w:rFonts w:ascii="Times New Roman" w:cs="Times New Roman" w:eastAsia="Times New Roman" w:hAnsi="Times New Roman"/>
          <w:color w:val="1F2937"/>
          <w:sz w:val="22"/>
          <w:szCs w:val="22"/>
        </w:rPr>
        <w:t xml:space="preserve">Dans chaque profil, la part investie sur des supports à risque faible augmente mécaniquement à l'approche de la date de retraite. L'adhérent peut à tout moment renoncer à la gestion à horizon et répartir librement ses versements parmi les supports du contrat (gestion libre).</w:t>
      </w:r>
    </w:p>
    <w:p>
      <w:pPr>
        <w:spacing w:after="80" w:before="220"/>
      </w:pPr>
      <w:r>
        <w:rPr>
          <w:rFonts w:ascii="Times New Roman" w:cs="Times New Roman" w:eastAsia="Times New Roman" w:hAnsi="Times New Roman"/>
          <w:b/>
          <w:bCs/>
          <w:color w:val="1F2937"/>
          <w:sz w:val="26"/>
          <w:szCs w:val="26"/>
        </w:rPr>
        <w:t xml:space="preserve">4. L'enjeu comportemental : déléguer ou piloter soi-même ?</w:t>
      </w:r>
    </w:p>
    <w:p>
      <w:pPr>
        <w:spacing w:after="80"/>
      </w:pPr>
      <w:r>
        <w:rPr>
          <w:rFonts w:ascii="Times New Roman" w:cs="Times New Roman" w:eastAsia="Times New Roman" w:hAnsi="Times New Roman"/>
          <w:color w:val="1F2937"/>
          <w:sz w:val="22"/>
          <w:szCs w:val="22"/>
        </w:rPr>
        <w:t xml:space="preserve">La gestion libre expose à deux biais opposés : l'inaction (ne jamais rééquilibrer, laisser dériver l'allocation) et la sur-réaction (vendre après une baisse, acheter après une hausse). La gestion pilotée protège contre ces biais par la discipline mécanique du rééquilibrage automatique.</w:t>
      </w:r>
    </w:p>
    <w:p>
      <w:pPr>
        <w:spacing w:after="80"/>
      </w:pPr>
      <w:r>
        <w:rPr>
          <w:rFonts w:ascii="Times New Roman" w:cs="Times New Roman" w:eastAsia="Times New Roman" w:hAnsi="Times New Roman"/>
          <w:color w:val="1F2937"/>
          <w:sz w:val="22"/>
          <w:szCs w:val="22"/>
        </w:rPr>
        <w:t xml:space="preserve">Cet avantage comportemental a un coût : les frais supplémentaires du mandat, additionnés à ceux des supports (souvent des fonds actifs), pèsent sur la performance nette dans la durée. Les rapports réguliers de l'AMF documentent depuis plusieurs années que la majorité des fonds gérés activement sous-performent leur indice de référence sur longue période, une fois les frais déduits — ce que la leçon n°13 sur les ETF a illustré.</w:t>
      </w:r>
    </w:p>
    <w:p>
      <w:pPr>
        <w:pBdr>
          <w:left w:val="single" w:color="BFDBFE" w:sz="16" w:space="180"/>
        </w:pBdr>
        <w:shd w:fill="EFF6FF" w:color="auto" w:val="clear"/>
        <w:spacing w:after="80" w:before="80"/>
        <w:ind w:left="200" w:right="200"/>
      </w:pPr>
      <w:r>
        <w:rPr>
          <w:rFonts w:ascii="Times New Roman" w:cs="Times New Roman" w:eastAsia="Times New Roman" w:hAnsi="Times New Roman"/>
          <w:color w:val="1F2937"/>
          <w:sz w:val="22"/>
          <w:szCs w:val="22"/>
        </w:rPr>
        <w:t xml:space="preserve">Synthèse : le choix entre gestion libre et gestion pilotée n'est pas seulement une question de compétences — c'est aussi une question de coûts, d'horizon et de comportement face aux marchés. Ces trois dimensions doivent être pesées ensemble.</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Pratique (80 %) — Trois exercices</w:t>
      </w:r>
    </w:p>
    <w:p>
      <w:pPr>
        <w:spacing w:after="80" w:before="220"/>
      </w:pPr>
      <w:r>
        <w:rPr>
          <w:rFonts w:ascii="Times New Roman" w:cs="Times New Roman" w:eastAsia="Times New Roman" w:hAnsi="Times New Roman"/>
          <w:b/>
          <w:bCs/>
          <w:color w:val="1F2937"/>
          <w:sz w:val="26"/>
          <w:szCs w:val="26"/>
        </w:rPr>
        <w:t xml:space="preserve">Exercice 1 — Identifier le mode de gestion adapté à chaque situation</w:t>
      </w:r>
    </w:p>
    <w:p>
      <w:pPr>
        <w:spacing w:after="80"/>
      </w:pPr>
      <w:r>
        <w:rPr>
          <w:rFonts w:ascii="Times New Roman" w:cs="Times New Roman" w:eastAsia="Times New Roman" w:hAnsi="Times New Roman"/>
          <w:color w:val="1F2937"/>
          <w:sz w:val="22"/>
          <w:szCs w:val="22"/>
        </w:rPr>
        <w:t xml:space="preserve">Pour chacune des quatre situations ci-dessous, indique : (a) quel mode de gestion est décrit ou serait le plus adapté (gestion libre, gestion pilotée, ou gestion à horizon PER) ; (b) justifie en une phrase.</w:t>
      </w:r>
    </w:p>
    <w:p>
      <w:pPr>
        <w:spacing w:after="4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Situation A : Marc, 45 ans, suit ses placements chaque semaine, sait lire une fiche DIC, est à l'aise pour arbitrer entre un ETF World et un fonds obligataire. Il déteste payer des frais supplémentaires.</w:t>
      </w:r>
    </w:p>
    <w:p>
      <w:pPr>
        <w:pStyle w:val="ListParagraph"/>
        <w:numPr>
          <w:ilvl w:val="0"/>
          <w:numId w:val="2"/>
        </w:numPr>
        <w:spacing w:after="60"/>
      </w:pPr>
      <w:r>
        <w:rPr>
          <w:rFonts w:ascii="Times New Roman" w:cs="Times New Roman" w:eastAsia="Times New Roman" w:hAnsi="Times New Roman"/>
          <w:color w:val="1F2937"/>
          <w:sz w:val="22"/>
          <w:szCs w:val="22"/>
        </w:rPr>
        <w:t xml:space="preserve">Situation B : Sophie, 58 ans, sans connaissances financières particulières, ne souhaite pas s'impliquer au quotidien. Elle place dans son PER avec un horizon retraite de 7 ans et veut que le risque diminue automatiquement.</w:t>
      </w:r>
    </w:p>
    <w:p>
      <w:pPr>
        <w:pStyle w:val="ListParagraph"/>
        <w:numPr>
          <w:ilvl w:val="0"/>
          <w:numId w:val="2"/>
        </w:numPr>
        <w:spacing w:after="60"/>
      </w:pPr>
      <w:r>
        <w:rPr>
          <w:rFonts w:ascii="Times New Roman" w:cs="Times New Roman" w:eastAsia="Times New Roman" w:hAnsi="Times New Roman"/>
          <w:color w:val="1F2937"/>
          <w:sz w:val="22"/>
          <w:szCs w:val="22"/>
        </w:rPr>
        <w:t xml:space="preserve">Situation C : Renaud, 50 ans, a signé il y a 5 ans une convention de mandat d'arbitrage « profil dynamique ». Il reçoit un rapport trimestriel mais n'a jamais relu le questionnaire de convenance initial.</w:t>
      </w:r>
    </w:p>
    <w:p>
      <w:pPr>
        <w:pStyle w:val="ListParagraph"/>
        <w:numPr>
          <w:ilvl w:val="0"/>
          <w:numId w:val="2"/>
        </w:numPr>
        <w:spacing w:after="60"/>
      </w:pPr>
      <w:r>
        <w:rPr>
          <w:rFonts w:ascii="Times New Roman" w:cs="Times New Roman" w:eastAsia="Times New Roman" w:hAnsi="Times New Roman"/>
          <w:color w:val="1F2937"/>
          <w:sz w:val="22"/>
          <w:szCs w:val="22"/>
        </w:rPr>
        <w:t xml:space="preserve">Situation D : Claire, 35 ans, ouvre une assurance-vie et hésite. Elle aimerait investir en ETF mais ne sait pas si elle aura le temps de suivre régulièrement.</w:t>
      </w:r>
    </w:p>
    <w:p>
      <w:pPr>
        <w:spacing w:after="40"/>
      </w:pPr>
      <w:r>
        <w:t xml:space="preserve"/>
      </w:r>
    </w:p>
    <w:p>
      <w:pPr>
        <w:spacing w:after="80"/>
      </w:pPr>
      <w:r>
        <w:rPr>
          <w:rFonts w:ascii="Times New Roman" w:cs="Times New Roman" w:eastAsia="Times New Roman" w:hAnsi="Times New Roman"/>
          <w:color w:val="1F2937"/>
          <w:sz w:val="22"/>
          <w:szCs w:val="22"/>
        </w:rPr>
        <w:t xml:space="preserve">Corrigé :</w:t>
      </w:r>
    </w:p>
    <w:p>
      <w:pPr>
        <w:pStyle w:val="ListParagraph"/>
        <w:numPr>
          <w:ilvl w:val="0"/>
          <w:numId w:val="2"/>
        </w:numPr>
        <w:spacing w:after="60"/>
      </w:pPr>
      <w:r>
        <w:rPr>
          <w:rFonts w:ascii="Times New Roman" w:cs="Times New Roman" w:eastAsia="Times New Roman" w:hAnsi="Times New Roman"/>
          <w:color w:val="1F2937"/>
          <w:sz w:val="22"/>
          <w:szCs w:val="22"/>
        </w:rPr>
        <w:t xml:space="preserve">A → Gestion libre. Marc dispose des compétences et de la motivation, et cherche à minimiser les frais : la gestion libre en ETF est cohérente avec ce profil. La délégation lui coûterait une couche de frais sans valeur ajoutée pour lui.</w:t>
      </w:r>
    </w:p>
    <w:p>
      <w:pPr>
        <w:pStyle w:val="ListParagraph"/>
        <w:numPr>
          <w:ilvl w:val="0"/>
          <w:numId w:val="2"/>
        </w:numPr>
        <w:spacing w:after="60"/>
      </w:pPr>
      <w:r>
        <w:rPr>
          <w:rFonts w:ascii="Times New Roman" w:cs="Times New Roman" w:eastAsia="Times New Roman" w:hAnsi="Times New Roman"/>
          <w:color w:val="1F2937"/>
          <w:sz w:val="22"/>
          <w:szCs w:val="22"/>
        </w:rPr>
        <w:t xml:space="preserve">B → Gestion à horizon PER (pilotée par défaut). Sophie correspond au public visé par la loi PACTE : non-initiée, horizon proche, besoin d'une sécurisation automatique. Elle devra vérifier que le profil par défaut (équilibré) est adapté à sa tolérance réelle au risque.</w:t>
      </w:r>
    </w:p>
    <w:p>
      <w:pPr>
        <w:pStyle w:val="ListParagraph"/>
        <w:numPr>
          <w:ilvl w:val="0"/>
          <w:numId w:val="2"/>
        </w:numPr>
        <w:spacing w:after="60"/>
      </w:pPr>
      <w:r>
        <w:rPr>
          <w:rFonts w:ascii="Times New Roman" w:cs="Times New Roman" w:eastAsia="Times New Roman" w:hAnsi="Times New Roman"/>
          <w:color w:val="1F2937"/>
          <w:sz w:val="22"/>
          <w:szCs w:val="22"/>
        </w:rPr>
        <w:t xml:space="preserve">C → Gestion pilotée sous mandat — mais avec un risque identifié : le profil initial peut ne plus correspondre à sa situation après 5 ans. Il devrait relire et mettre à jour son questionnaire de convenance, car c'est ce document qui encadre légalement les décisions du mandataire.</w:t>
      </w:r>
    </w:p>
    <w:p>
      <w:pPr>
        <w:pStyle w:val="ListParagraph"/>
        <w:numPr>
          <w:ilvl w:val="0"/>
          <w:numId w:val="2"/>
        </w:numPr>
        <w:spacing w:after="60"/>
      </w:pPr>
      <w:r>
        <w:rPr>
          <w:rFonts w:ascii="Times New Roman" w:cs="Times New Roman" w:eastAsia="Times New Roman" w:hAnsi="Times New Roman"/>
          <w:color w:val="1F2937"/>
          <w:sz w:val="22"/>
          <w:szCs w:val="22"/>
        </w:rPr>
        <w:t xml:space="preserve">D → Question ouverte légitime. La gestion libre en ETF est potentiellement moins coûteuse mais exige du suivi. Si elle anticipe peu de disponibilité, la gestion pilotée peut être un compromis raisonnable — à condition de comparer les frais totaux (trois couches) des deux options avant de signer.</w:t>
      </w:r>
    </w:p>
    <w:p>
      <w:pPr>
        <w:pBdr>
          <w:bottom w:val="single" w:color="E5E7EB" w:sz="4" w:space="0"/>
        </w:pBdr>
        <w:spacing w:after="120" w:before="120"/>
      </w:pPr>
      <w:r>
        <w:t xml:space="preserve"/>
      </w:r>
    </w:p>
    <w:p>
      <w:pPr>
        <w:spacing w:after="80" w:before="220"/>
      </w:pPr>
      <w:r>
        <w:rPr>
          <w:rFonts w:ascii="Times New Roman" w:cs="Times New Roman" w:eastAsia="Times New Roman" w:hAnsi="Times New Roman"/>
          <w:b/>
          <w:bCs/>
          <w:color w:val="1F2937"/>
          <w:sz w:val="26"/>
          <w:szCs w:val="26"/>
        </w:rPr>
        <w:t xml:space="preserve">Exercice 2 — L'impact des frais sur l'horizon</w:t>
      </w:r>
    </w:p>
    <w:p>
      <w:pPr>
        <w:spacing w:after="80"/>
      </w:pPr>
      <w:r>
        <w:rPr>
          <w:rFonts w:ascii="Times New Roman" w:cs="Times New Roman" w:eastAsia="Times New Roman" w:hAnsi="Times New Roman"/>
          <w:color w:val="1F2937"/>
          <w:sz w:val="22"/>
          <w:szCs w:val="22"/>
        </w:rPr>
        <w:t xml:space="preserve">Hypothèse pédagogique : les rendements utilisés ci-dessous sont fictifs. Ils servent uniquement à illustrer le mécanisme mathématique des frais et ne constituent pas une prévision ni une recommandation.</w:t>
      </w:r>
    </w:p>
    <w:p>
      <w:pPr>
        <w:spacing w:after="80"/>
      </w:pPr>
      <w:r>
        <w:rPr>
          <w:rFonts w:ascii="Times New Roman" w:cs="Times New Roman" w:eastAsia="Times New Roman" w:hAnsi="Times New Roman"/>
          <w:color w:val="1F2937"/>
          <w:sz w:val="22"/>
          <w:szCs w:val="22"/>
        </w:rPr>
        <w:t xml:space="preserve">Tu places 30 000 € dans une assurance-vie multisupport pendant 8 ans. Le rendement brut annuel hypothétique est identique dans les deux scénarios (5 %). Seuls les frais totaux diffèrent :</w:t>
      </w:r>
    </w:p>
    <w:p>
      <w:pPr>
        <w:pStyle w:val="ListParagraph"/>
        <w:numPr>
          <w:ilvl w:val="0"/>
          <w:numId w:val="2"/>
        </w:numPr>
        <w:spacing w:after="60"/>
      </w:pPr>
      <w:r>
        <w:rPr>
          <w:rFonts w:ascii="Times New Roman" w:cs="Times New Roman" w:eastAsia="Times New Roman" w:hAnsi="Times New Roman"/>
          <w:color w:val="1F2937"/>
          <w:sz w:val="22"/>
          <w:szCs w:val="22"/>
        </w:rPr>
        <w:t xml:space="preserve">Scénario A — Gestion libre avec ETF : frais totaux annuels = 0,80 %  →  taux net = 4,20 %</w:t>
      </w:r>
    </w:p>
    <w:p>
      <w:pPr>
        <w:pStyle w:val="ListParagraph"/>
        <w:numPr>
          <w:ilvl w:val="0"/>
          <w:numId w:val="2"/>
        </w:numPr>
        <w:spacing w:after="60"/>
      </w:pPr>
      <w:r>
        <w:rPr>
          <w:rFonts w:ascii="Times New Roman" w:cs="Times New Roman" w:eastAsia="Times New Roman" w:hAnsi="Times New Roman"/>
          <w:color w:val="1F2937"/>
          <w:sz w:val="22"/>
          <w:szCs w:val="22"/>
        </w:rPr>
        <w:t xml:space="preserve">Scénario B — Gestion pilotée : frais totaux annuels = 2,20 %  →  taux net = 2,80 %</w:t>
      </w:r>
    </w:p>
    <w:p>
      <w:pPr>
        <w:spacing w:after="40"/>
      </w:pPr>
      <w:r>
        <w:t xml:space="preserve"/>
      </w:r>
    </w:p>
    <w:p>
      <w:pPr>
        <w:spacing w:after="80"/>
      </w:pPr>
      <w:r>
        <w:rPr>
          <w:rFonts w:ascii="Times New Roman" w:cs="Times New Roman" w:eastAsia="Times New Roman" w:hAnsi="Times New Roman"/>
          <w:color w:val="1F2937"/>
          <w:sz w:val="22"/>
          <w:szCs w:val="22"/>
        </w:rPr>
        <w:t xml:space="preserve">Utilise la formule des intérêts composés nets :  Valeur finale = Capital × (1 + taux net)^durée</w:t>
      </w:r>
    </w:p>
    <w:p>
      <w:pPr>
        <w:spacing w:after="40"/>
      </w:pPr>
      <w:r>
        <w:t xml:space="preserve"/>
      </w:r>
    </w:p>
    <w:p>
      <w:pPr>
        <w:spacing w:after="80"/>
      </w:pPr>
      <w:r>
        <w:rPr>
          <w:rFonts w:ascii="Times New Roman" w:cs="Times New Roman" w:eastAsia="Times New Roman" w:hAnsi="Times New Roman"/>
          <w:color w:val="1F2937"/>
          <w:sz w:val="22"/>
          <w:szCs w:val="22"/>
        </w:rPr>
        <w:t xml:space="preserve">Corrigé :</w:t>
      </w:r>
    </w:p>
    <w:p>
      <w:pPr>
        <w:pStyle w:val="ListParagraph"/>
        <w:numPr>
          <w:ilvl w:val="0"/>
          <w:numId w:val="2"/>
        </w:numPr>
        <w:spacing w:after="60"/>
      </w:pPr>
      <w:r>
        <w:rPr>
          <w:rFonts w:ascii="Times New Roman" w:cs="Times New Roman" w:eastAsia="Times New Roman" w:hAnsi="Times New Roman"/>
          <w:color w:val="1F2937"/>
          <w:sz w:val="22"/>
          <w:szCs w:val="22"/>
        </w:rPr>
        <w:t xml:space="preserve">Scénario A : 30 000 × (1,042)^8 ≈ 30 000 × 1,390 ≈ 41 700 €</w:t>
      </w:r>
    </w:p>
    <w:p>
      <w:pPr>
        <w:pStyle w:val="ListParagraph"/>
        <w:numPr>
          <w:ilvl w:val="0"/>
          <w:numId w:val="2"/>
        </w:numPr>
        <w:spacing w:after="60"/>
      </w:pPr>
      <w:r>
        <w:rPr>
          <w:rFonts w:ascii="Times New Roman" w:cs="Times New Roman" w:eastAsia="Times New Roman" w:hAnsi="Times New Roman"/>
          <w:color w:val="1F2937"/>
          <w:sz w:val="22"/>
          <w:szCs w:val="22"/>
        </w:rPr>
        <w:t xml:space="preserve">Scénario B : 30 000 × (1,028)^8 ≈ 30 000 × 1,249 ≈ 37 470 €</w:t>
      </w:r>
    </w:p>
    <w:p>
      <w:pPr>
        <w:pStyle w:val="ListParagraph"/>
        <w:numPr>
          <w:ilvl w:val="0"/>
          <w:numId w:val="2"/>
        </w:numPr>
        <w:spacing w:after="60"/>
      </w:pPr>
      <w:r>
        <w:rPr>
          <w:rFonts w:ascii="Times New Roman" w:cs="Times New Roman" w:eastAsia="Times New Roman" w:hAnsi="Times New Roman"/>
          <w:color w:val="1F2937"/>
          <w:sz w:val="22"/>
          <w:szCs w:val="22"/>
        </w:rPr>
        <w:t xml:space="preserve">Écart : environ 4 230 € en faveur du scénario A, soit environ +11 % de capital final en plus</w:t>
      </w:r>
    </w:p>
    <w:p>
      <w:pPr>
        <w:spacing w:after="80"/>
      </w:pPr>
      <w:r>
        <w:rPr>
          <w:rFonts w:ascii="Times New Roman" w:cs="Times New Roman" w:eastAsia="Times New Roman" w:hAnsi="Times New Roman"/>
          <w:color w:val="1F2937"/>
          <w:sz w:val="22"/>
          <w:szCs w:val="22"/>
        </w:rPr>
        <w:t xml:space="preserve">Ce calcul est illustratif : il suppose un rendement brut identique et des frais constants sur 8 ans, ce qui ne reflète pas la réalité (rendements variables, marchés, fiscalité à la sortie). Il illustre cependant le seul effet mécanique des frais, à rendement brut égal.</w:t>
      </w:r>
    </w:p>
    <w:p>
      <w:pPr>
        <w:pBdr>
          <w:left w:val="single" w:color="BFDBFE" w:sz="16" w:space="180"/>
        </w:pBdr>
        <w:shd w:fill="EFF6FF" w:color="auto" w:val="clear"/>
        <w:spacing w:after="80" w:before="80"/>
        <w:ind w:left="200" w:right="200"/>
      </w:pPr>
      <w:r>
        <w:rPr>
          <w:rFonts w:ascii="Times New Roman" w:cs="Times New Roman" w:eastAsia="Times New Roman" w:hAnsi="Times New Roman"/>
          <w:color w:val="1F2937"/>
          <w:sz w:val="22"/>
          <w:szCs w:val="22"/>
        </w:rPr>
        <w:t xml:space="preserve">Question de réflexion : qu'est-ce que la gestion pilotée doit apporter — en discipline comportementale, en tranquillité, en performance éventuelle — pour justifier cet écart de coût sur ton horizon ? C'est la vraie question à poser à un conseiller.</w:t>
      </w:r>
    </w:p>
    <w:p>
      <w:pPr>
        <w:pBdr>
          <w:bottom w:val="single" w:color="E5E7EB" w:sz="4" w:space="0"/>
        </w:pBdr>
        <w:spacing w:after="120" w:before="120"/>
      </w:pPr>
      <w:r>
        <w:t xml:space="preserve"/>
      </w:r>
    </w:p>
    <w:p>
      <w:pPr>
        <w:spacing w:after="80" w:before="220"/>
      </w:pPr>
      <w:r>
        <w:rPr>
          <w:rFonts w:ascii="Times New Roman" w:cs="Times New Roman" w:eastAsia="Times New Roman" w:hAnsi="Times New Roman"/>
          <w:b/>
          <w:bCs/>
          <w:color w:val="1F2937"/>
          <w:sz w:val="26"/>
          <w:szCs w:val="26"/>
        </w:rPr>
        <w:t xml:space="preserve">Exercice 3 — Décrypter une convention de mandat d'arbitrage</w:t>
      </w:r>
    </w:p>
    <w:p>
      <w:pPr>
        <w:spacing w:after="80"/>
      </w:pPr>
      <w:r>
        <w:rPr>
          <w:rFonts w:ascii="Times New Roman" w:cs="Times New Roman" w:eastAsia="Times New Roman" w:hAnsi="Times New Roman"/>
          <w:color w:val="1F2937"/>
          <w:sz w:val="22"/>
          <w:szCs w:val="22"/>
        </w:rPr>
        <w:t xml:space="preserve">Imagine que tu reçois un extrait de convention de mandat. Pour chacune des trois clauses ci-dessous, indique ce qu'elle signifie en langage courant et ce que tu dois vérifier avant de signer.</w:t>
      </w:r>
    </w:p>
    <w:p>
      <w:pPr>
        <w:spacing w:after="40"/>
      </w:pPr>
      <w:r>
        <w:t xml:space="preserve"/>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1 : « Le mandataire est autorisé à effectuer tous arbitrages entre supports du contrat, y compris vers le fonds en euros, sans accord préalable du mandant, dans le respect du profil de risque défini au questionnaire de convenance joint. »</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2 : « Des frais de pilotage de 0,35 % annuels sont prélevés sur l'encours géré sous mandat. Ces frais s'ajoutent aux frais de gestion du contrat et aux frais des supports sous-jacents. »</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3 : « Le mandataire peut investir dans des OPCVM distribués par des entités du même groupe financier, dans la limite de 40 % de l'allocation. »</w:t>
      </w:r>
    </w:p>
    <w:p>
      <w:pPr>
        <w:spacing w:after="40"/>
      </w:pPr>
      <w:r>
        <w:t xml:space="preserve"/>
      </w:r>
    </w:p>
    <w:p>
      <w:pPr>
        <w:spacing w:after="80"/>
      </w:pPr>
      <w:r>
        <w:rPr>
          <w:rFonts w:ascii="Times New Roman" w:cs="Times New Roman" w:eastAsia="Times New Roman" w:hAnsi="Times New Roman"/>
          <w:color w:val="1F2937"/>
          <w:sz w:val="22"/>
          <w:szCs w:val="22"/>
        </w:rPr>
        <w:t xml:space="preserve">Corrigé :</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1 : la société de gestion peut déplacer ton épargne entre tous les supports du contrat sans te demander à chaque fois — c'est le principe de la délégation. À vérifier : le questionnaire de convenance est-il joint et signé ? Est-il à jour par rapport à ta situation actuelle ? C'est ce document qui encadre légalement les décisions du mandataire.</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2 : les frais de pilotage (0,35 %/an) s'ajoutent aux autres couches. Si les frais de gestion du contrat sur UC sont par exemple à 0,80 % et les frais moyens des supports à 1,00 %, le coût total atteint 2,15 %/an. C'est ce chiffre global qui compte, pas chaque ligne isolément. Le DIC de chaque support doit mentionner ses propres frais courants.</w:t>
      </w:r>
    </w:p>
    <w:p>
      <w:pPr>
        <w:pStyle w:val="ListParagraph"/>
        <w:numPr>
          <w:ilvl w:val="0"/>
          <w:numId w:val="2"/>
        </w:numPr>
        <w:spacing w:after="60"/>
      </w:pPr>
      <w:r>
        <w:rPr>
          <w:rFonts w:ascii="Times New Roman" w:cs="Times New Roman" w:eastAsia="Times New Roman" w:hAnsi="Times New Roman"/>
          <w:color w:val="1F2937"/>
          <w:sz w:val="22"/>
          <w:szCs w:val="22"/>
        </w:rPr>
        <w:t xml:space="preserve">Clause 3 : la société de gestion peut allouer jusqu'à 40 % de ton épargne vers ses propres fonds, ce qui constitue un potentiel conflit d'intérêts. Cette pratique est légale en France mais doit être signalée dans les documents précontractuels. À vérifier : la performance de ces fonds maison est-elle compétitive par rapport à des alternatives tierces ou à des ETF comparables ?</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Challenge — Construire ton tableau de comparaison</w:t>
      </w:r>
    </w:p>
    <w:p>
      <w:pPr>
        <w:spacing w:after="80"/>
      </w:pPr>
      <w:r>
        <w:rPr>
          <w:rFonts w:ascii="Times New Roman" w:cs="Times New Roman" w:eastAsia="Times New Roman" w:hAnsi="Times New Roman"/>
          <w:color w:val="1F2937"/>
          <w:sz w:val="22"/>
          <w:szCs w:val="22"/>
        </w:rPr>
        <w:t xml:space="preserve">Remplis le tableau ci-dessous pour une enveloppe de ton choix (assurance-vie ou PER). Si tu as déjà un contrat, utilise les documents contractuels. Sinon, demande les conditions tarifaires à ton établissement financier et complète les colonnes.</w:t>
      </w:r>
    </w:p>
    <w:p>
      <w:pPr>
        <w:spacing w:after="40"/>
      </w:pPr>
      <w:r>
        <w:t xml:space="preserve"/>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B3A6B" w:color="auto" w:val="clear"/>
            <w:tcMar>
              <w:top w:type="dxa" w:w="60"/>
              <w:left w:type="dxa" w:w="120"/>
              <w:bottom w:type="dxa" w:w="60"/>
              <w:right w:type="dxa" w:w="120"/>
            </w:tcMar>
            <w:vAlign w:val="center"/>
          </w:tcPr>
          <w:p>
            <w:r>
              <w:rPr>
                <w:rFonts w:ascii="Times New Roman" w:cs="Times New Roman" w:eastAsia="Times New Roman" w:hAnsi="Times New Roman"/>
                <w:b/>
                <w:bCs/>
                <w:color w:val="FFFFFF"/>
                <w:sz w:val="20"/>
                <w:szCs w:val="20"/>
              </w:rPr>
              <w:t xml:space="preserve">Critère</w:t>
            </w:r>
          </w:p>
        </w:tc>
        <w:tc>
          <w:tcPr>
            <w:tcW w:type="dxa" w:w="3853"/>
            <w:shd w:fill="1B3A6B" w:color="auto" w:val="clear"/>
            <w:tcMar>
              <w:top w:type="dxa" w:w="60"/>
              <w:left w:type="dxa" w:w="120"/>
              <w:bottom w:type="dxa" w:w="60"/>
              <w:right w:type="dxa" w:w="120"/>
            </w:tcMar>
            <w:vAlign w:val="center"/>
          </w:tcPr>
          <w:p>
            <w:r>
              <w:rPr>
                <w:rFonts w:ascii="Times New Roman" w:cs="Times New Roman" w:eastAsia="Times New Roman" w:hAnsi="Times New Roman"/>
                <w:b/>
                <w:bCs/>
                <w:color w:val="FFFFFF"/>
                <w:sz w:val="20"/>
                <w:szCs w:val="20"/>
              </w:rPr>
              <w:t xml:space="preserve">Gestion libre</w:t>
            </w:r>
          </w:p>
        </w:tc>
        <w:tc>
          <w:tcPr>
            <w:tcW w:type="dxa" w:w="3853"/>
            <w:shd w:fill="1B3A6B" w:color="auto" w:val="clear"/>
            <w:tcMar>
              <w:top w:type="dxa" w:w="60"/>
              <w:left w:type="dxa" w:w="120"/>
              <w:bottom w:type="dxa" w:w="60"/>
              <w:right w:type="dxa" w:w="120"/>
            </w:tcMar>
            <w:vAlign w:val="center"/>
          </w:tcPr>
          <w:p>
            <w:r>
              <w:rPr>
                <w:rFonts w:ascii="Times New Roman" w:cs="Times New Roman" w:eastAsia="Times New Roman" w:hAnsi="Times New Roman"/>
                <w:b/>
                <w:bCs/>
                <w:color w:val="FFFFFF"/>
                <w:sz w:val="20"/>
                <w:szCs w:val="20"/>
              </w:rPr>
              <w:t xml:space="preserve">Gestion pilotée</w:t>
            </w:r>
          </w:p>
        </w:tc>
      </w:tr>
      <w:tr>
        <w:tc>
          <w:tcPr>
            <w:tcW w:type="dxa" w:w="3200"/>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Qui prend les décisions d'arbitrage ?</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Toi seul</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Société de gestion mandatée</w:t>
            </w:r>
          </w:p>
        </w:tc>
      </w:tr>
      <w:tr>
        <w:tc>
          <w:tcPr>
            <w:tcW w:type="dxa" w:w="3200"/>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Profil de risque formalisé à la souscription ?</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Non</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(questionnaire de convenance)</w:t>
            </w:r>
          </w:p>
        </w:tc>
      </w:tr>
      <w:tr>
        <w:tc>
          <w:tcPr>
            <w:tcW w:type="dxa" w:w="3200"/>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Frais d'arbitrage (à relever sur ton DIC)</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À compléter : 0 % à 1 %*</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À compléter (variable)</w:t>
            </w:r>
          </w:p>
        </w:tc>
      </w:tr>
      <w:tr>
        <w:tc>
          <w:tcPr>
            <w:tcW w:type="dxa" w:w="3200"/>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Frais de mandat annuels</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Aucun</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À compléter sur ton DIC</w:t>
            </w:r>
          </w:p>
        </w:tc>
      </w:tr>
      <w:tr>
        <w:tc>
          <w:tcPr>
            <w:tcW w:type="dxa" w:w="3200"/>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Rééquilibrage automatique ?</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Non — tu le fais toi-même</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 automatique</w:t>
            </w:r>
          </w:p>
        </w:tc>
      </w:tr>
      <w:tr>
        <w:tc>
          <w:tcPr>
            <w:tcW w:type="dxa" w:w="3200"/>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Gestion à horizon disponible (PER) ?</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Non</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(mode légal par défaut)</w:t>
            </w:r>
          </w:p>
        </w:tc>
      </w:tr>
      <w:tr>
        <w:tc>
          <w:tcPr>
            <w:tcW w:type="dxa" w:w="3200"/>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Convient si peu de temps à consacrer ?</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Non</w:t>
            </w:r>
          </w:p>
        </w:tc>
        <w:tc>
          <w:tcPr>
            <w:tcW w:type="dxa" w:w="3853"/>
            <w:shd w:fill="FFFFFF"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w:t>
            </w:r>
          </w:p>
        </w:tc>
      </w:tr>
      <w:tr>
        <w:tc>
          <w:tcPr>
            <w:tcW w:type="dxa" w:w="3200"/>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Convient si compétences en placements ?</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 coût moindre</w:t>
            </w:r>
          </w:p>
        </w:tc>
        <w:tc>
          <w:tcPr>
            <w:tcW w:type="dxa" w:w="3853"/>
            <w:shd w:fill="EEF2F7" w:color="auto" w:val="clear"/>
            <w:tcMar>
              <w:top w:type="dxa" w:w="60"/>
              <w:left w:type="dxa" w:w="120"/>
              <w:bottom w:type="dxa" w:w="60"/>
              <w:right w:type="dxa" w:w="120"/>
            </w:tcMar>
            <w:vAlign w:val="center"/>
          </w:tcPr>
          <w:p>
            <w:r>
              <w:rPr>
                <w:rFonts w:ascii="Times New Roman" w:cs="Times New Roman" w:eastAsia="Times New Roman" w:hAnsi="Times New Roman"/>
                <w:color w:val="1F2937"/>
                <w:sz w:val="20"/>
                <w:szCs w:val="20"/>
              </w:rPr>
              <w:t xml:space="preserve">Oui — mais surcoût potentiel</w:t>
            </w:r>
          </w:p>
        </w:tc>
      </w:tr>
    </w:tbl>
    <w:p>
      <w:pPr>
        <w:spacing w:after="40"/>
      </w:pPr>
      <w:r>
        <w:t xml:space="preserve"/>
      </w:r>
    </w:p>
    <w:p>
      <w:pPr>
        <w:spacing w:after="80"/>
        <w:ind w:left="360"/>
      </w:pPr>
      <w:r>
        <w:rPr>
          <w:rFonts w:ascii="Times New Roman" w:cs="Times New Roman" w:eastAsia="Times New Roman" w:hAnsi="Times New Roman"/>
          <w:i/>
          <w:iCs/>
          <w:color w:val="6B7280"/>
          <w:sz w:val="20"/>
          <w:szCs w:val="20"/>
        </w:rPr>
        <w:t xml:space="preserve">* Fourchette indiquée par La Finance pour Tous (article « Assurance vie : quels sont les frais prélevés ? », 28 juillet 2025). Vérifier le chiffre exact sur ton propre contrat.</w:t>
      </w:r>
    </w:p>
    <w:p>
      <w:pPr>
        <w:spacing w:after="40"/>
      </w:pPr>
      <w:r>
        <w:t xml:space="preserve"/>
      </w:r>
    </w:p>
    <w:p>
      <w:pPr>
        <w:spacing w:after="80"/>
      </w:pPr>
      <w:r>
        <w:rPr>
          <w:rFonts w:ascii="Times New Roman" w:cs="Times New Roman" w:eastAsia="Times New Roman" w:hAnsi="Times New Roman"/>
          <w:color w:val="1F2937"/>
          <w:sz w:val="22"/>
          <w:szCs w:val="22"/>
        </w:rPr>
        <w:t xml:space="preserve">Question de challenge : au vu de ton horizon de 7-8 ans et de l'implication que tu peux réellement consacrer à tes placements, quel mode de gestion te semble le plus cohérent ? Formule ta réflexion en 5-6 lignes en distinguant ce qui relève de l'objectif, du coût et du comportement. Cette réflexion constituera un point de départ utile pour un entretien avec un CGP/CIF.</w:t>
      </w:r>
    </w:p>
    <w:p>
      <w:pPr>
        <w:pBdr>
          <w:left w:val="single" w:color="FCD34D" w:sz="16" w:space="180"/>
        </w:pBdr>
        <w:shd w:fill="FFFBEB" w:color="auto" w:val="clear"/>
        <w:spacing w:after="80" w:before="80"/>
        <w:ind w:left="200" w:right="200"/>
      </w:pPr>
      <w:r>
        <w:rPr>
          <w:rFonts w:ascii="Times New Roman" w:cs="Times New Roman" w:eastAsia="Times New Roman" w:hAnsi="Times New Roman"/>
          <w:color w:val="1F2937"/>
          <w:sz w:val="22"/>
          <w:szCs w:val="22"/>
        </w:rPr>
        <w:t xml:space="preserve">Rappel : ce challenge est un exercice d'éducation financière. Il ne produit pas une décision d'investissement. Toute décision réelle doit s'appuyer sur un bilan patrimonial complet réalisé avec un professionnel agréé.</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Pont pro (optionnel)</w:t>
      </w:r>
    </w:p>
    <w:p>
      <w:pPr>
        <w:spacing w:after="80"/>
      </w:pPr>
      <w:r>
        <w:rPr>
          <w:rFonts w:ascii="Times New Roman" w:cs="Times New Roman" w:eastAsia="Times New Roman" w:hAnsi="Times New Roman"/>
          <w:color w:val="1F2937"/>
          <w:sz w:val="22"/>
          <w:szCs w:val="22"/>
        </w:rPr>
        <w:t xml:space="preserve">La logique du mandat d'arbitrage — déléguer des décisions à quelqu'un de compétent selon un profil convenu, avec un cadre contractuel et des indicateurs de suivi — est structurellement proche de la délégation managériale. Un chef de service qui délègue à un éducateur spécialisé ne renonce pas à son autorité : il fixe le cadre, définit les objectifs et contrôle les résultats. La différence de coût entre gestion libre et gestion pilotée illustre que toute délégation a un prix — et que ce prix se justifie ou non selon la valeur ajoutée réellement apportée. Observation personnelle, non opposable dans un contexte institutionnel.</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Ressources cliquables</w:t>
      </w:r>
    </w:p>
    <w:p>
      <w:pPr>
        <w:spacing w:after="80"/>
      </w:pPr>
      <w:r>
        <w:rPr>
          <w:rFonts w:ascii="Times New Roman" w:cs="Times New Roman" w:eastAsia="Times New Roman" w:hAnsi="Times New Roman"/>
          <w:color w:val="1F2937"/>
          <w:sz w:val="22"/>
          <w:szCs w:val="22"/>
        </w:rPr>
        <w:t xml:space="preserve">Sources utilisées dans cette leçon (statut HTTP vérifié lors de cette exécution) :</w:t>
      </w:r>
    </w:p>
    <w:p>
      <w:pPr>
        <w:spacing w:after="40"/>
      </w:pPr>
      <w:r>
        <w:t xml:space="preserve"/>
      </w:r>
    </w:p>
    <w:p>
      <w:pPr>
        <w:spacing w:after="70"/>
      </w:pPr>
      <w:hyperlink w:history="1" r:id="rIdv1re6rbpc_gujpyhbj23s">
        <w:r>
          <w:rPr>
            <w:rFonts w:ascii="Times New Roman" w:cs="Times New Roman" w:eastAsia="Times New Roman" w:hAnsi="Times New Roman"/>
            <w:color w:val="1155CC"/>
            <w:sz w:val="22"/>
            <w:szCs w:val="22"/>
            <w:u w:val="single"/>
          </w:rPr>
          <w:t xml:space="preserve">La Finance pour Tous — Assurance vie : quels sont les frais prélevés ?</w:t>
        </w:r>
      </w:hyperlink>
      <w:r>
        <w:rPr>
          <w:rFonts w:ascii="Times New Roman" w:cs="Times New Roman" w:eastAsia="Times New Roman" w:hAnsi="Times New Roman"/>
          <w:i/>
          <w:iCs/>
          <w:color w:val="6B7280"/>
          <w:sz w:val="20"/>
          <w:szCs w:val="20"/>
        </w:rPr>
        <w:t xml:space="preserve">  200 OK · source officielle IEFP · citation verbatim des frais d'arbitrage utilisée dans la leçon</w:t>
      </w:r>
    </w:p>
    <w:p>
      <w:pPr>
        <w:spacing w:after="70"/>
      </w:pPr>
      <w:hyperlink w:history="1" r:id="rIdgykzkkiez91tdsdkiujt4">
        <w:r>
          <w:rPr>
            <w:rFonts w:ascii="Times New Roman" w:cs="Times New Roman" w:eastAsia="Times New Roman" w:hAnsi="Times New Roman"/>
            <w:color w:val="1155CC"/>
            <w:sz w:val="22"/>
            <w:szCs w:val="22"/>
            <w:u w:val="single"/>
          </w:rPr>
          <w:t xml:space="preserve">France Épargne — Gestion pilotée en assurance vie, le guide complet</w:t>
        </w:r>
      </w:hyperlink>
      <w:r>
        <w:rPr>
          <w:rFonts w:ascii="Times New Roman" w:cs="Times New Roman" w:eastAsia="Times New Roman" w:hAnsi="Times New Roman"/>
          <w:i/>
          <w:iCs/>
          <w:color w:val="6B7280"/>
          <w:sz w:val="20"/>
          <w:szCs w:val="20"/>
        </w:rPr>
        <w:t xml:space="preserve">  200 OK · source secondaire · informations sur le décret n°2024-572 et les couches de frais · à compléter avec sources officielles</w:t>
      </w:r>
    </w:p>
    <w:p>
      <w:pPr>
        <w:spacing w:after="70"/>
      </w:pPr>
      <w:hyperlink w:history="1" r:id="rIdjsoqutmv1s8sjaxayrf47">
        <w:r>
          <w:rPr>
            <w:rFonts w:ascii="Times New Roman" w:cs="Times New Roman" w:eastAsia="Times New Roman" w:hAnsi="Times New Roman"/>
            <w:color w:val="1155CC"/>
            <w:sz w:val="22"/>
            <w:szCs w:val="22"/>
            <w:u w:val="single"/>
          </w:rPr>
          <w:t xml:space="preserve">Calcunet — Gestion pilotée en assurance vie et PER : fonctionnement, frais réels et performance en 2026</w:t>
        </w:r>
      </w:hyperlink>
      <w:r>
        <w:rPr>
          <w:rFonts w:ascii="Times New Roman" w:cs="Times New Roman" w:eastAsia="Times New Roman" w:hAnsi="Times New Roman"/>
          <w:i/>
          <w:iCs/>
          <w:color w:val="6B7280"/>
          <w:sz w:val="20"/>
          <w:szCs w:val="20"/>
        </w:rPr>
        <w:t xml:space="preserve">  200 OK · source secondaire · comparatif gestion libre / pilotée · chiffres de frais à vérifier sur sources primaires AMF/ACPR</w:t>
      </w:r>
    </w:p>
    <w:p>
      <w:pPr>
        <w:spacing w:after="70"/>
      </w:pPr>
      <w:hyperlink w:history="1" r:id="rIdpug2aimwrqbpsf4f0-9y4">
        <w:r>
          <w:rPr>
            <w:rFonts w:ascii="Times New Roman" w:cs="Times New Roman" w:eastAsia="Times New Roman" w:hAnsi="Times New Roman"/>
            <w:color w:val="1155CC"/>
            <w:sz w:val="22"/>
            <w:szCs w:val="22"/>
            <w:u w:val="single"/>
          </w:rPr>
          <w:t xml:space="preserve">ABE Infoservice — PER en assurance : quel fonctionnement ? (trois profils de la gestion à horizon)</w:t>
        </w:r>
      </w:hyperlink>
      <w:r>
        <w:rPr>
          <w:rFonts w:ascii="Times New Roman" w:cs="Times New Roman" w:eastAsia="Times New Roman" w:hAnsi="Times New Roman"/>
          <w:i/>
          <w:iCs/>
          <w:color w:val="6B7280"/>
          <w:sz w:val="20"/>
          <w:szCs w:val="20"/>
        </w:rPr>
        <w:t xml:space="preserve">  403 anti-robot · page accessible en navigation normale · source officielle AMF/ACPR</w:t>
      </w:r>
    </w:p>
    <w:p>
      <w:pPr>
        <w:spacing w:after="70"/>
      </w:pPr>
      <w:hyperlink w:history="1" r:id="rIdrzbehfr-fuyb-m1z4_s3j">
        <w:r>
          <w:rPr>
            <w:rFonts w:ascii="Times New Roman" w:cs="Times New Roman" w:eastAsia="Times New Roman" w:hAnsi="Times New Roman"/>
            <w:color w:val="1155CC"/>
            <w:sz w:val="22"/>
            <w:szCs w:val="22"/>
            <w:u w:val="single"/>
          </w:rPr>
          <w:t xml:space="preserve">La Finance pour Tous — Qu'est-ce que l'assurance vie ?</w:t>
        </w:r>
      </w:hyperlink>
      <w:r>
        <w:rPr>
          <w:rFonts w:ascii="Times New Roman" w:cs="Times New Roman" w:eastAsia="Times New Roman" w:hAnsi="Times New Roman"/>
          <w:i/>
          <w:iCs/>
          <w:color w:val="6B7280"/>
          <w:sz w:val="20"/>
          <w:szCs w:val="20"/>
        </w:rPr>
        <w:t xml:space="preserve">  200 OK · rappel du cadre général de l'enveloppe</w:t>
      </w:r>
    </w:p>
    <w:p>
      <w:pPr>
        <w:spacing w:after="40"/>
      </w:pPr>
      <w:r>
        <w:t xml:space="preserve"/>
      </w:r>
    </w:p>
    <w:p>
      <w:pPr>
        <w:pBdr>
          <w:left w:val="single" w:color="FCD34D" w:sz="16" w:space="180"/>
        </w:pBdr>
        <w:shd w:fill="FFFBEB" w:color="auto" w:val="clear"/>
        <w:spacing w:after="80" w:before="80"/>
        <w:ind w:left="200" w:right="200"/>
      </w:pPr>
      <w:r>
        <w:rPr>
          <w:rFonts w:ascii="Times New Roman" w:cs="Times New Roman" w:eastAsia="Times New Roman" w:hAnsi="Times New Roman"/>
          <w:color w:val="1F2937"/>
          <w:sz w:val="22"/>
          <w:szCs w:val="22"/>
        </w:rPr>
        <w:t xml:space="preserve">Chiffres fiscaux (abattements après 8 ans, abattements successoraux) : non vérifiés sur source primaire (impots.gouv.fr) lors de cette exécution. Consulter directement impots.gouv.fr ou service-public.fr pour les valeurs en vigueur avant toute décision.</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Pour aller plus loin avec un professionnel</w:t>
      </w:r>
    </w:p>
    <w:p>
      <w:pPr>
        <w:spacing w:after="80"/>
      </w:pPr>
      <w:r>
        <w:rPr>
          <w:rFonts w:ascii="Times New Roman" w:cs="Times New Roman" w:eastAsia="Times New Roman" w:hAnsi="Times New Roman"/>
          <w:color w:val="1F2937"/>
          <w:sz w:val="22"/>
          <w:szCs w:val="22"/>
        </w:rPr>
        <w:t xml:space="preserve">Questions concrètes à poser à un CGP ou CIF agréé :</w:t>
      </w:r>
    </w:p>
    <w:p>
      <w:pPr>
        <w:pStyle w:val="ListParagraph"/>
        <w:numPr>
          <w:ilvl w:val="0"/>
          <w:numId w:val="2"/>
        </w:numPr>
        <w:spacing w:after="60"/>
      </w:pPr>
      <w:r>
        <w:rPr>
          <w:rFonts w:ascii="Times New Roman" w:cs="Times New Roman" w:eastAsia="Times New Roman" w:hAnsi="Times New Roman"/>
          <w:color w:val="1F2937"/>
          <w:sz w:val="22"/>
          <w:szCs w:val="22"/>
        </w:rPr>
        <w:t xml:space="preserve">Quelle est la composition exacte de l'allocation pilotée de mon contrat, et qui gère les fonds sous-jacents ? Quelle part sont des fonds maison ?</w:t>
      </w:r>
    </w:p>
    <w:p>
      <w:pPr>
        <w:pStyle w:val="ListParagraph"/>
        <w:numPr>
          <w:ilvl w:val="0"/>
          <w:numId w:val="2"/>
        </w:numPr>
        <w:spacing w:after="60"/>
      </w:pPr>
      <w:r>
        <w:rPr>
          <w:rFonts w:ascii="Times New Roman" w:cs="Times New Roman" w:eastAsia="Times New Roman" w:hAnsi="Times New Roman"/>
          <w:color w:val="1F2937"/>
          <w:sz w:val="22"/>
          <w:szCs w:val="22"/>
        </w:rPr>
        <w:t xml:space="preserve">Quel est le coût total annuel de la gestion pilotée (frais contrat + frais supports + frais de mandat), et comment se compare-t-il à une gestion libre en ETF dans le même contrat ?</w:t>
      </w:r>
    </w:p>
    <w:p>
      <w:pPr>
        <w:pStyle w:val="ListParagraph"/>
        <w:numPr>
          <w:ilvl w:val="0"/>
          <w:numId w:val="2"/>
        </w:numPr>
        <w:spacing w:after="60"/>
      </w:pPr>
      <w:r>
        <w:rPr>
          <w:rFonts w:ascii="Times New Roman" w:cs="Times New Roman" w:eastAsia="Times New Roman" w:hAnsi="Times New Roman"/>
          <w:color w:val="1F2937"/>
          <w:sz w:val="22"/>
          <w:szCs w:val="22"/>
        </w:rPr>
        <w:t xml:space="preserve">Si je souhaite passer de gestion pilotée à gestion libre (ou l'inverse), quels sont les délais, les frais d'arbitrage éventuels et les conditions contractuelles ?</w:t>
      </w:r>
    </w:p>
    <w:p>
      <w:pPr>
        <w:pBdr>
          <w:bottom w:val="single" w:color="E5E7EB" w:sz="4" w:space="0"/>
        </w:pBdr>
        <w:spacing w:after="120" w:before="120"/>
      </w:pPr>
      <w:r>
        <w:t xml:space="preserve"/>
      </w:r>
    </w:p>
    <w:p>
      <w:pPr>
        <w:spacing w:after="100" w:before="320"/>
      </w:pPr>
      <w:r>
        <w:rPr>
          <w:rFonts w:ascii="Times New Roman" w:cs="Times New Roman" w:eastAsia="Times New Roman" w:hAnsi="Times New Roman"/>
          <w:b/>
          <w:bCs/>
          <w:color w:val="1B3A6B"/>
          <w:sz w:val="30"/>
          <w:szCs w:val="30"/>
        </w:rPr>
        <w:t xml:space="preserve">🔜 Prochaine leçon</w:t>
      </w:r>
    </w:p>
    <w:p>
      <w:pPr>
        <w:spacing w:after="80"/>
      </w:pPr>
      <w:r>
        <w:rPr>
          <w:rFonts w:ascii="Times New Roman" w:cs="Times New Roman" w:eastAsia="Times New Roman" w:hAnsi="Times New Roman"/>
          <w:color w:val="1F2937"/>
          <w:sz w:val="22"/>
          <w:szCs w:val="22"/>
        </w:rPr>
        <w:t xml:space="preserve">Leçon n°15 — Les biais comportementaux de l'épargnant</w:t>
      </w:r>
    </w:p>
    <w:p>
      <w:pPr>
        <w:spacing w:after="80"/>
      </w:pPr>
      <w:r>
        <w:rPr>
          <w:rFonts w:ascii="Times New Roman" w:cs="Times New Roman" w:eastAsia="Times New Roman" w:hAnsi="Times New Roman"/>
          <w:color w:val="1F2937"/>
          <w:sz w:val="22"/>
          <w:szCs w:val="22"/>
        </w:rPr>
        <w:t xml:space="preserve">Comment nos émotions et nos raccourcis cognitifs sabotent nos décisions financières : aversion aux pertes, excès de confiance, biais de récence, biais de confirmation. Et comment construire des garde-fous systémiques pour s'en protéger.</w:t>
      </w:r>
    </w:p>
    <w:p>
      <w:pPr>
        <w:spacing w:after="40"/>
      </w:pPr>
      <w:r>
        <w:t xml:space="preserve"/>
      </w:r>
    </w:p>
    <w:p>
      <w:pPr>
        <w:spacing w:before="120"/>
        <w:jc w:val="center"/>
      </w:pPr>
      <w:r>
        <w:rPr>
          <w:rFonts w:ascii="Times New Roman" w:cs="Times New Roman" w:eastAsia="Times New Roman" w:hAnsi="Times New Roman"/>
          <w:i/>
          <w:iCs/>
          <w:color w:val="6B7280"/>
          <w:sz w:val="18"/>
          <w:szCs w:val="18"/>
        </w:rPr>
        <w:t xml:space="preserve">Document éducatif — Éducation financière générale. Ne constitue pas un conseil en investissement. Risque de perte en capital sur les supports en unités de compte. Consulter un CGP ou CIF agréé pour toute décision personnelle.</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1re6rbpc_gujpyhbj23s" Type="http://schemas.openxmlformats.org/officeDocument/2006/relationships/hyperlink" Target="https://www.lafinancepourtous.com/pratique/placements/assurance-vie/quels-sont-les-frais-preleves/" TargetMode="External"/><Relationship Id="rIdgykzkkiez91tdsdkiujt4" Type="http://schemas.openxmlformats.org/officeDocument/2006/relationships/hyperlink" Target="https://www.france-epargne.fr/academy/assurance-vie-epargne/av-gestion-pilotee" TargetMode="External"/><Relationship Id="rIdjsoqutmv1s8sjaxayrf47" Type="http://schemas.openxmlformats.org/officeDocument/2006/relationships/hyperlink" Target="https://calcunet.fr/articles/gestion-pilotee-assurance-vie-per-2026/" TargetMode="External"/><Relationship Id="rIdpug2aimwrqbpsf4f0-9y4" Type="http://schemas.openxmlformats.org/officeDocument/2006/relationships/hyperlink" Target="https://www.abe-infoservice.fr/fr/assurance/assurance-et-contrats-de-retraite-supplementaire/en-assurance-et-contrats-de-retraite-supplementaire-quel-fonctionnement" TargetMode="External"/><Relationship Id="rIdrzbehfr-fuyb-m1z4_s3j" Type="http://schemas.openxmlformats.org/officeDocument/2006/relationships/hyperlink" Target="https://www.lafinancepourtous.com/pratique/placements/assurance-vie/qu-est-ce-que-l-assurance-vi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2026-09-12T06:12:31.971Z</dcterms:created>
  <dcterms:modified xsi:type="dcterms:W3CDTF">2026-09-12T06:12:31.972Z</dcterms:modified>
</cp:coreProperties>
</file>

<file path=docProps/custom.xml><?xml version="1.0" encoding="utf-8"?>
<Properties xmlns="http://schemas.openxmlformats.org/officeDocument/2006/custom-properties" xmlns:vt="http://schemas.openxmlformats.org/officeDocument/2006/docPropsVTypes"/>
</file>