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rFonts w:ascii="Times New Roman" w:cs="Times New Roman" w:eastAsia="Times New Roman" w:hAnsi="Times New Roman"/>
          <w:b/>
          <w:bCs/>
          <w:color w:val="1B3A6B"/>
          <w:sz w:val="52"/>
          <w:szCs w:val="52"/>
        </w:rPr>
        <w:t xml:space="preserve">Leçon Astrologie karmique n°09</w:t>
      </w:r>
    </w:p>
    <w:p>
      <w:pPr>
        <w:pStyle w:val="Heading1"/>
        <w:spacing w:after="160" w:before="200"/>
        <w:jc w:val="center"/>
      </w:pPr>
      <w:r>
        <w:rPr>
          <w:rFonts w:ascii="Times New Roman" w:cs="Times New Roman" w:eastAsia="Times New Roman" w:hAnsi="Times New Roman"/>
          <w:b/>
          <w:bCs/>
          <w:color w:val="1B3A6B"/>
          <w:sz w:val="52"/>
          <w:szCs w:val="52"/>
        </w:rPr>
        <w:t xml:space="preserve">Chiron : corps réel, blessure symbolique</w:t>
      </w:r>
    </w:p>
    <w:p>
      <w:pPr>
        <w:spacing w:after="200" w:before="60"/>
        <w:jc w:val="center"/>
      </w:pPr>
      <w:r>
        <w:rPr>
          <w:rFonts w:ascii="Times New Roman" w:cs="Times New Roman" w:eastAsia="Times New Roman" w:hAnsi="Times New Roman"/>
          <w:b w:val="false"/>
          <w:bCs w:val="false"/>
          <w:i w:val="false"/>
          <w:iCs w:val="false"/>
          <w:color w:val="6B7280"/>
          <w:sz w:val="20"/>
          <w:szCs w:val="20"/>
        </w:rPr>
        <w:t xml:space="preserve">1er octobre 2026  ·  Leçon 09 / 12</w:t>
      </w:r>
    </w:p>
    <w:p>
      <w:pPr>
        <w:pStyle w:val="Heading2"/>
        <w:spacing w:after="100" w:before="280"/>
      </w:pPr>
      <w:r>
        <w:rPr>
          <w:rFonts w:ascii="Times New Roman" w:cs="Times New Roman" w:eastAsia="Times New Roman" w:hAnsi="Times New Roman"/>
          <w:b/>
          <w:bCs/>
          <w:color w:val="1B3A6B"/>
          <w:sz w:val="30"/>
          <w:szCs w:val="30"/>
        </w:rPr>
        <w:t xml:space="preserve">🎯 Objectif</w:t>
      </w:r>
    </w:p>
    <w:p>
      <w:pPr>
        <w:shd w:fill="F3F4F6" w:val="clear"/>
        <w:spacing w:after="80" w:before="60"/>
      </w:pPr>
      <w:r>
        <w:rPr>
          <w:rFonts w:ascii="Times New Roman" w:cs="Times New Roman" w:eastAsia="Times New Roman" w:hAnsi="Times New Roman"/>
          <w:b/>
          <w:bCs/>
          <w:i w:val="false"/>
          <w:iCs w:val="false"/>
          <w:color w:val="1F2937"/>
          <w:sz w:val="22"/>
          <w:szCs w:val="22"/>
        </w:rPr>
        <w:t xml:space="preserve">Rappel leçon 08 : </w:t>
      </w:r>
      <w:r>
        <w:rPr>
          <w:rFonts w:ascii="Times New Roman" w:cs="Times New Roman" w:eastAsia="Times New Roman" w:hAnsi="Times New Roman"/>
          <w:b w:val="false"/>
          <w:bCs w:val="false"/>
          <w:i w:val="false"/>
          <w:iCs w:val="false"/>
          <w:color w:val="1F2937"/>
          <w:sz w:val="22"/>
          <w:szCs w:val="22"/>
        </w:rPr>
        <w:t xml:space="preserve">le mouvement rétrograde d'une planète est un phénomène apparent, dû à la position relative de la Terre et des autres planètes sur leurs orbites. Le mouvement orbital réel n'est ni inversé ni ralenti. Dans le corpus karmique, une planète rétrograde natale est lue comme un marqueur d'intériorisation des thèmes qu'elle gouverne (d'après les synthèses Astrotheme et Kerykeion, consultées le 24/09/2026).</w:t>
      </w:r>
    </w:p>
    <w:p>
      <w:pPr>
        <w:spacing w:after="100" w:before="60"/>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identifier Chiron dans un thème natal et citer son statut astronomique précis (centaure + comète double)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distinguer les données orbitales vérifiables de la lecture symbolique que le corpus en a construite en moins d'une décennie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nommer les auteurs qui ont posé les bases de la lecture chirologique et ce que leurs notices bibliographiques révèlent de leurs angles respectifs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situer le « retour de Chiron » (Chiron return) dans son contexte orbital et dans la lecture du corpus.</w:t>
      </w:r>
    </w:p>
    <w:p>
      <w:pPr>
        <w:pStyle w:val="Heading2"/>
        <w:spacing w:after="100" w:before="280"/>
      </w:pPr>
      <w:r>
        <w:rPr>
          <w:rFonts w:ascii="Times New Roman" w:cs="Times New Roman" w:eastAsia="Times New Roman" w:hAnsi="Times New Roman"/>
          <w:b/>
          <w:bCs/>
          <w:color w:val="1B3A6B"/>
          <w:sz w:val="30"/>
          <w:szCs w:val="30"/>
        </w:rPr>
        <w:t xml:space="preserve">📜 Le corpus — Chiron : corps réel, blessure symbolique</w:t>
      </w:r>
    </w:p>
    <w:p>
      <w:pPr>
        <w:pStyle w:val="Heading3"/>
        <w:spacing w:after="80" w:before="200"/>
      </w:pPr>
      <w:r>
        <w:rPr>
          <w:rFonts w:ascii="Times New Roman" w:cs="Times New Roman" w:eastAsia="Times New Roman" w:hAnsi="Times New Roman"/>
          <w:b/>
          <w:bCs/>
          <w:color w:val="1F2937"/>
          <w:sz w:val="26"/>
          <w:szCs w:val="26"/>
        </w:rPr>
        <w:t xml:space="preserve">1. La réalité astronomique (Régime A)</w:t>
      </w:r>
    </w:p>
    <w:p>
      <w:pPr>
        <w:spacing w:after="100" w:before="60"/>
      </w:pPr>
      <w:r>
        <w:rPr>
          <w:rFonts w:ascii="Times New Roman" w:cs="Times New Roman" w:eastAsia="Times New Roman" w:hAnsi="Times New Roman"/>
          <w:b w:val="false"/>
          <w:bCs w:val="false"/>
          <w:i w:val="false"/>
          <w:iCs w:val="false"/>
          <w:color w:val="1F2937"/>
          <w:sz w:val="22"/>
          <w:szCs w:val="22"/>
        </w:rPr>
        <w:t xml:space="preserve">Chiron est un corps céleste découvert le </w:t>
      </w:r>
      <w:r>
        <w:rPr>
          <w:rFonts w:ascii="Times New Roman" w:cs="Times New Roman" w:eastAsia="Times New Roman" w:hAnsi="Times New Roman"/>
          <w:b/>
          <w:bCs/>
          <w:i w:val="false"/>
          <w:iCs w:val="false"/>
          <w:color w:val="1F2937"/>
          <w:sz w:val="22"/>
          <w:szCs w:val="22"/>
        </w:rPr>
        <w:t xml:space="preserve">18 octobre 1977</w:t>
      </w:r>
      <w:r>
        <w:rPr>
          <w:rFonts w:ascii="Times New Roman" w:cs="Times New Roman" w:eastAsia="Times New Roman" w:hAnsi="Times New Roman"/>
          <w:b w:val="false"/>
          <w:bCs w:val="false"/>
          <w:i w:val="false"/>
          <w:iCs w:val="false"/>
          <w:color w:val="1F2937"/>
          <w:sz w:val="22"/>
          <w:szCs w:val="22"/>
        </w:rPr>
        <w:t xml:space="preserve"> par l'astronome américain Charles T. Kowal à l'Observatoire de </w:t>
      </w:r>
      <w:r>
        <w:rPr>
          <w:rFonts w:ascii="Times New Roman" w:cs="Times New Roman" w:eastAsia="Times New Roman" w:hAnsi="Times New Roman"/>
          <w:b w:val="false"/>
          <w:bCs w:val="false"/>
          <w:i/>
          <w:iCs/>
          <w:color w:val="1F2937"/>
          <w:sz w:val="22"/>
          <w:szCs w:val="22"/>
        </w:rPr>
        <w:t xml:space="preserve">Palomar</w:t>
      </w:r>
      <w:r>
        <w:rPr>
          <w:rFonts w:ascii="Times New Roman" w:cs="Times New Roman" w:eastAsia="Times New Roman" w:hAnsi="Times New Roman"/>
          <w:b w:val="false"/>
          <w:bCs w:val="false"/>
          <w:i w:val="false"/>
          <w:iCs w:val="false"/>
          <w:color w:val="1F2937"/>
          <w:sz w:val="22"/>
          <w:szCs w:val="22"/>
        </w:rPr>
        <w:t xml:space="preserve"> (Californie). Sa désignation officielle est </w:t>
      </w:r>
      <w:r>
        <w:rPr>
          <w:rFonts w:ascii="Times New Roman" w:cs="Times New Roman" w:eastAsia="Times New Roman" w:hAnsi="Times New Roman"/>
          <w:b/>
          <w:bCs/>
          <w:i w:val="false"/>
          <w:iCs w:val="false"/>
          <w:color w:val="1F2937"/>
          <w:sz w:val="22"/>
          <w:szCs w:val="22"/>
        </w:rPr>
        <w:t xml:space="preserve">2060 Chiron</w:t>
      </w:r>
      <w:r>
        <w:rPr>
          <w:rFonts w:ascii="Times New Roman" w:cs="Times New Roman" w:eastAsia="Times New Roman" w:hAnsi="Times New Roman"/>
          <w:b w:val="false"/>
          <w:bCs w:val="false"/>
          <w:i w:val="false"/>
          <w:iCs w:val="false"/>
          <w:color w:val="1F2937"/>
          <w:sz w:val="22"/>
          <w:szCs w:val="22"/>
        </w:rPr>
        <w:t xml:space="preserve">, et il porte en parallèle la désignation cométaire </w:t>
      </w:r>
      <w:r>
        <w:rPr>
          <w:rFonts w:ascii="Times New Roman" w:cs="Times New Roman" w:eastAsia="Times New Roman" w:hAnsi="Times New Roman"/>
          <w:b/>
          <w:bCs/>
          <w:i w:val="false"/>
          <w:iCs w:val="false"/>
          <w:color w:val="1F2937"/>
          <w:sz w:val="22"/>
          <w:szCs w:val="22"/>
        </w:rPr>
        <w:t xml:space="preserve">95P/Chiron</w:t>
      </w:r>
      <w:r>
        <w:rPr>
          <w:rFonts w:ascii="Times New Roman" w:cs="Times New Roman" w:eastAsia="Times New Roman" w:hAnsi="Times New Roman"/>
          <w:b w:val="false"/>
          <w:bCs w:val="false"/>
          <w:i w:val="false"/>
          <w:iCs w:val="false"/>
          <w:color w:val="1F2937"/>
          <w:sz w:val="22"/>
          <w:szCs w:val="22"/>
        </w:rPr>
        <w:t xml:space="preserve"> — ce double statut d'astéroïde et de comète périodique est exceptionnel et caractéristique du corps.</w:t>
      </w:r>
    </w:p>
    <w:p>
      <w:pPr>
        <w:spacing w:after="100" w:before="60"/>
      </w:pPr>
      <w:r>
        <w:rPr>
          <w:rFonts w:ascii="Times New Roman" w:cs="Times New Roman" w:eastAsia="Times New Roman" w:hAnsi="Times New Roman"/>
          <w:b w:val="false"/>
          <w:bCs w:val="false"/>
          <w:i w:val="false"/>
          <w:iCs w:val="false"/>
          <w:color w:val="1F2937"/>
          <w:sz w:val="22"/>
          <w:szCs w:val="22"/>
        </w:rPr>
        <w:t xml:space="preserve">Source : </w:t>
      </w:r>
      <w:hyperlink w:history="1" r:id="rIddlwbnairs0ym8j0hlprkq">
        <w:r>
          <w:rPr>
            <w:rFonts w:ascii="Times New Roman" w:cs="Times New Roman" w:eastAsia="Times New Roman" w:hAnsi="Times New Roman"/>
            <w:color w:val="1155CC"/>
            <w:sz w:val="22"/>
            <w:szCs w:val="22"/>
            <w:u w:val="single"/>
          </w:rPr>
          <w:t xml:space="preserve">Centre des planètes mineures de l'UAI — 2060 Chiron</w:t>
        </w:r>
      </w:hyperlink>
      <w:r>
        <w:rPr>
          <w:rFonts w:ascii="Times New Roman" w:cs="Times New Roman" w:eastAsia="Times New Roman" w:hAnsi="Times New Roman"/>
          <w:b w:val="false"/>
          <w:bCs w:val="false"/>
          <w:i w:val="false"/>
          <w:iCs w:val="false"/>
          <w:color w:val="1F2937"/>
          <w:sz w:val="22"/>
          <w:szCs w:val="22"/>
        </w:rPr>
        <w:t xml:space="preserve"> (HTTP 200, 521 478 caractères, testé le 01/10/2026). La page confirme : « Discovered at Palomar on 1977-10-18 by C. T. Kowal. »</w:t>
      </w:r>
    </w:p>
    <w:p>
      <w:pPr>
        <w:pStyle w:val="Heading3"/>
        <w:spacing w:after="80" w:before="200"/>
      </w:pPr>
      <w:r>
        <w:rPr>
          <w:rFonts w:ascii="Times New Roman" w:cs="Times New Roman" w:eastAsia="Times New Roman" w:hAnsi="Times New Roman"/>
          <w:b/>
          <w:bCs/>
          <w:color w:val="1F2937"/>
          <w:sz w:val="26"/>
          <w:szCs w:val="26"/>
        </w:rPr>
        <w:t xml:space="preserve">1.1 Classification : la naissance de la catégorie « Centaures »</w:t>
      </w:r>
    </w:p>
    <w:p>
      <w:pPr>
        <w:spacing w:after="100" w:before="60"/>
      </w:pPr>
      <w:r>
        <w:rPr>
          <w:rFonts w:ascii="Times New Roman" w:cs="Times New Roman" w:eastAsia="Times New Roman" w:hAnsi="Times New Roman"/>
          <w:b w:val="false"/>
          <w:bCs w:val="false"/>
          <w:i w:val="false"/>
          <w:iCs w:val="false"/>
          <w:color w:val="1F2937"/>
          <w:sz w:val="22"/>
          <w:szCs w:val="22"/>
        </w:rPr>
        <w:t xml:space="preserve">À sa découverte, Chiron déjoue les classifications existantes. Il orbite entre Saturne et Uranus — territoire qu'aucun corps connu n'occupait alors. Ses paramètres orbitaux sont (données MPC/UAI, Centre des planètes mineures, page citée ci-dessus et liste officielle des centaures)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Distance au périhélie : </w:t>
      </w:r>
      <w:r>
        <w:rPr>
          <w:rFonts w:ascii="Times New Roman" w:cs="Times New Roman" w:eastAsia="Times New Roman" w:hAnsi="Times New Roman"/>
          <w:b/>
          <w:bCs/>
          <w:i w:val="false"/>
          <w:iCs w:val="false"/>
          <w:color w:val="1F2937"/>
          <w:sz w:val="22"/>
          <w:szCs w:val="22"/>
        </w:rPr>
        <w:t xml:space="preserve">8,487 UA</w:t>
      </w:r>
      <w:r>
        <w:rPr>
          <w:rFonts w:ascii="Times New Roman" w:cs="Times New Roman" w:eastAsia="Times New Roman" w:hAnsi="Times New Roman"/>
          <w:b w:val="false"/>
          <w:bCs w:val="false"/>
          <w:i w:val="false"/>
          <w:iCs w:val="false"/>
          <w:color w:val="1F2937"/>
          <w:sz w:val="22"/>
          <w:szCs w:val="22"/>
        </w:rPr>
        <w:t xml:space="preserve"> (proche de Saturne, dont la distance moyenne au Soleil est d'environ 9,5 UA — constante astronomique standard, non relevée sur ces pages)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Distance à l'aphélie : </w:t>
      </w:r>
      <w:r>
        <w:rPr>
          <w:rFonts w:ascii="Times New Roman" w:cs="Times New Roman" w:eastAsia="Times New Roman" w:hAnsi="Times New Roman"/>
          <w:b/>
          <w:bCs/>
          <w:i w:val="false"/>
          <w:iCs w:val="false"/>
          <w:color w:val="1F2937"/>
          <w:sz w:val="22"/>
          <w:szCs w:val="22"/>
        </w:rPr>
        <w:t xml:space="preserve">18,881 UA</w:t>
      </w:r>
      <w:r>
        <w:rPr>
          <w:rFonts w:ascii="Times New Roman" w:cs="Times New Roman" w:eastAsia="Times New Roman" w:hAnsi="Times New Roman"/>
          <w:b w:val="false"/>
          <w:bCs w:val="false"/>
          <w:i w:val="false"/>
          <w:iCs w:val="false"/>
          <w:color w:val="1F2937"/>
          <w:sz w:val="22"/>
          <w:szCs w:val="22"/>
        </w:rPr>
        <w:t xml:space="preserve"> (proche d'Uranus, dont la distance moyenne est d'environ 19,2 UA — constante astronomique standard, non relevée sur ces pages)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Inclinaison sur l'écliptique : </w:t>
      </w:r>
      <w:r>
        <w:rPr>
          <w:rFonts w:ascii="Times New Roman" w:cs="Times New Roman" w:eastAsia="Times New Roman" w:hAnsi="Times New Roman"/>
          <w:b/>
          <w:bCs/>
          <w:i w:val="false"/>
          <w:iCs w:val="false"/>
          <w:color w:val="1F2937"/>
          <w:sz w:val="22"/>
          <w:szCs w:val="22"/>
        </w:rPr>
        <w:t xml:space="preserve">6,931°</w:t>
      </w:r>
      <w:r>
        <w:rPr>
          <w:rFonts w:ascii="Times New Roman" w:cs="Times New Roman" w:eastAsia="Times New Roman" w:hAnsi="Times New Roman"/>
          <w:b w:val="false"/>
          <w:bCs w:val="false"/>
          <w:i w:val="false"/>
          <w:iCs w:val="false"/>
          <w:color w:val="1F2937"/>
          <w:sz w:val="22"/>
          <w:szCs w:val="22"/>
        </w:rPr>
        <w:t xml:space="preserve"> (MPC, liste des centaures et disques épars, testé 01/10/2026)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Excentricité : </w:t>
      </w:r>
      <w:r>
        <w:rPr>
          <w:rFonts w:ascii="Times New Roman" w:cs="Times New Roman" w:eastAsia="Times New Roman" w:hAnsi="Times New Roman"/>
          <w:b/>
          <w:bCs/>
          <w:i w:val="false"/>
          <w:iCs w:val="false"/>
          <w:color w:val="1F2937"/>
          <w:sz w:val="22"/>
          <w:szCs w:val="22"/>
        </w:rPr>
        <w:t xml:space="preserve">0,380</w:t>
      </w:r>
      <w:r>
        <w:rPr>
          <w:rFonts w:ascii="Times New Roman" w:cs="Times New Roman" w:eastAsia="Times New Roman" w:hAnsi="Times New Roman"/>
          <w:b w:val="false"/>
          <w:bCs w:val="false"/>
          <w:i w:val="false"/>
          <w:iCs w:val="false"/>
          <w:color w:val="1F2937"/>
          <w:sz w:val="22"/>
          <w:szCs w:val="22"/>
        </w:rPr>
        <w:t xml:space="preserve"> (MPC)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Demi-grand axe : </w:t>
      </w:r>
      <w:r>
        <w:rPr>
          <w:rFonts w:ascii="Times New Roman" w:cs="Times New Roman" w:eastAsia="Times New Roman" w:hAnsi="Times New Roman"/>
          <w:b/>
          <w:bCs/>
          <w:i w:val="false"/>
          <w:iCs w:val="false"/>
          <w:color w:val="1F2937"/>
          <w:sz w:val="22"/>
          <w:szCs w:val="22"/>
        </w:rPr>
        <w:t xml:space="preserve">13,684 UA</w:t>
      </w:r>
      <w:r>
        <w:rPr>
          <w:rFonts w:ascii="Times New Roman" w:cs="Times New Roman" w:eastAsia="Times New Roman" w:hAnsi="Times New Roman"/>
          <w:b w:val="false"/>
          <w:bCs w:val="false"/>
          <w:i w:val="false"/>
          <w:iCs w:val="false"/>
          <w:color w:val="1F2937"/>
          <w:sz w:val="22"/>
          <w:szCs w:val="22"/>
        </w:rPr>
        <w:t xml:space="preserve"> (MPC).</w:t>
      </w:r>
    </w:p>
    <w:p>
      <w:pPr>
        <w:spacing w:after="100" w:before="60"/>
      </w:pPr>
      <w:r>
        <w:rPr>
          <w:rFonts w:ascii="Times New Roman" w:cs="Times New Roman" w:eastAsia="Times New Roman" w:hAnsi="Times New Roman"/>
          <w:b w:val="false"/>
          <w:bCs w:val="false"/>
          <w:i w:val="false"/>
          <w:iCs w:val="false"/>
          <w:color w:val="1F2937"/>
          <w:sz w:val="22"/>
          <w:szCs w:val="22"/>
        </w:rPr>
        <w:t xml:space="preserve">La liste officielle des centaures de l'UAI/MPC place Chiron en </w:t>
      </w:r>
      <w:r>
        <w:rPr>
          <w:rFonts w:ascii="Times New Roman" w:cs="Times New Roman" w:eastAsia="Times New Roman" w:hAnsi="Times New Roman"/>
          <w:b/>
          <w:bCs/>
          <w:i w:val="false"/>
          <w:iCs w:val="false"/>
          <w:color w:val="1F2937"/>
          <w:sz w:val="22"/>
          <w:szCs w:val="22"/>
        </w:rPr>
        <w:t xml:space="preserve">première position</w:t>
      </w:r>
      <w:r>
        <w:rPr>
          <w:rFonts w:ascii="Times New Roman" w:cs="Times New Roman" w:eastAsia="Times New Roman" w:hAnsi="Times New Roman"/>
          <w:b w:val="false"/>
          <w:bCs w:val="false"/>
          <w:i w:val="false"/>
          <w:iCs w:val="false"/>
          <w:color w:val="1F2937"/>
          <w:sz w:val="22"/>
          <w:szCs w:val="22"/>
        </w:rPr>
        <w:t xml:space="preserve"> — il est le corps éponyme qui a donné son nom à la catégorie. Source : </w:t>
      </w:r>
      <w:hyperlink w:history="1" r:id="rIdfmgkkgu_htd80k70snl_e">
        <w:r>
          <w:rPr>
            <w:rFonts w:ascii="Times New Roman" w:cs="Times New Roman" w:eastAsia="Times New Roman" w:hAnsi="Times New Roman"/>
            <w:color w:val="1155CC"/>
            <w:sz w:val="22"/>
            <w:szCs w:val="22"/>
            <w:u w:val="single"/>
          </w:rPr>
          <w:t xml:space="preserve">MPC — Liste des centaures et objets du disque épars</w:t>
        </w:r>
      </w:hyperlink>
      <w:r>
        <w:rPr>
          <w:rFonts w:ascii="Times New Roman" w:cs="Times New Roman" w:eastAsia="Times New Roman" w:hAnsi="Times New Roman"/>
          <w:b w:val="false"/>
          <w:bCs w:val="false"/>
          <w:i w:val="false"/>
          <w:iCs w:val="false"/>
          <w:color w:val="1F2937"/>
          <w:sz w:val="22"/>
          <w:szCs w:val="22"/>
        </w:rPr>
        <w:t xml:space="preserve"> (HTTP 200, 338 056 caractères, testé 01/10/2026).</w:t>
      </w:r>
    </w:p>
    <w:p>
      <w:pPr>
        <w:pStyle w:val="Heading3"/>
        <w:spacing w:after="80" w:before="200"/>
      </w:pPr>
      <w:r>
        <w:rPr>
          <w:rFonts w:ascii="Times New Roman" w:cs="Times New Roman" w:eastAsia="Times New Roman" w:hAnsi="Times New Roman"/>
          <w:b/>
          <w:bCs/>
          <w:color w:val="1F2937"/>
          <w:sz w:val="26"/>
          <w:szCs w:val="26"/>
        </w:rPr>
        <w:t xml:space="preserve">1.2 La période orbitale et le « retour de Chiron »</w:t>
      </w:r>
    </w:p>
    <w:p>
      <w:pPr>
        <w:spacing w:after="100" w:before="60"/>
      </w:pPr>
      <w:r>
        <w:rPr>
          <w:rFonts w:ascii="Times New Roman" w:cs="Times New Roman" w:eastAsia="Times New Roman" w:hAnsi="Times New Roman"/>
          <w:b w:val="false"/>
          <w:bCs w:val="false"/>
          <w:i w:val="false"/>
          <w:iCs w:val="false"/>
          <w:color w:val="1F2937"/>
          <w:sz w:val="22"/>
          <w:szCs w:val="22"/>
        </w:rPr>
        <w:t xml:space="preserve">Deux sources de régime A donnent la période orbitale, avec un léger écart :</w:t>
      </w:r>
    </w:p>
    <w:p>
      <w:pPr>
        <w:pStyle w:val="ListParagraph"/>
        <w:numPr>
          <w:ilvl w:val="0"/>
          <w:numId w:val="1"/>
        </w:numPr>
        <w:spacing w:after="40" w:before="40"/>
      </w:pPr>
      <w:r>
        <w:rPr>
          <w:rFonts w:ascii="Times New Roman" w:cs="Times New Roman" w:eastAsia="Times New Roman" w:hAnsi="Times New Roman"/>
          <w:color w:val="1155CC"/>
          <w:sz w:val="22"/>
          <w:szCs w:val="22"/>
          <w:u w:val="single"/>
        </w:rPr>
        <w:t xml:space="preserve">NASA/JPL Horizons (API, testé 01/10/2026)</w:t>
      </w:r>
      <w:r>
        <w:rPr>
          <w:rFonts w:ascii="Times New Roman" w:cs="Times New Roman" w:eastAsia="Times New Roman" w:hAnsi="Times New Roman"/>
          <w:b w:val="false"/>
          <w:bCs w:val="false"/>
          <w:i w:val="false"/>
          <w:iCs w:val="false"/>
          <w:color w:val="1F2937"/>
          <w:sz w:val="22"/>
          <w:szCs w:val="22"/>
        </w:rPr>
        <w:t xml:space="preserve"> : </w:t>
      </w:r>
      <w:r>
        <w:rPr>
          <w:rFonts w:ascii="Times New Roman" w:cs="Times New Roman" w:eastAsia="Times New Roman" w:hAnsi="Times New Roman"/>
          <w:b/>
          <w:bCs/>
          <w:i w:val="false"/>
          <w:iCs w:val="false"/>
          <w:color w:val="1F2937"/>
          <w:sz w:val="22"/>
          <w:szCs w:val="22"/>
        </w:rPr>
        <w:t xml:space="preserve">50,41 ans</w:t>
      </w:r>
      <w:r>
        <w:rPr>
          <w:rFonts w:ascii="Times New Roman" w:cs="Times New Roman" w:eastAsia="Times New Roman" w:hAnsi="Times New Roman"/>
          <w:b w:val="false"/>
          <w:bCs w:val="false"/>
          <w:i w:val="false"/>
          <w:iCs w:val="false"/>
          <w:color w:val="1F2937"/>
          <w:sz w:val="22"/>
          <w:szCs w:val="22"/>
        </w:rPr>
        <w:t xml:space="preserve"> (années juliennes ; paramètre PER= 50.40983 dans les éléments osculateurs à l'époque 2017-06-12 (JD 2457916,5), exprimés dans le repère écliptique IAU76/J2000) ;</w:t>
      </w:r>
      <w:r>
        <w:rPr>
          <w:i/>
          <w:iCs/>
          <w:color w:val="6B7280"/>
          <w:sz w:val="20"/>
        </w:rPr>
        <w:t xml:space="preserve"> [Corrigé le 01/10/2026 : la leçon livrée écrivait « à l'époque J2000 ». La réponse de l'API porte EPOCH= 2457916.5 ! 2017-Jun-12 (TDB) ; J2000 est le repère de l'écliptique (« IAU76/J2000 helio. ecliptic osc. elements »), pas l'époque des éléments. L'écart de 0,2 an avec le MPC, expliqué plus haut par les époques, est juste sur le fond : 2017 contre 2026-06-09]</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MPC/UAI, page principale citée ci-dessus : </w:t>
      </w:r>
      <w:r>
        <w:rPr>
          <w:rFonts w:ascii="Times New Roman" w:cs="Times New Roman" w:eastAsia="Times New Roman" w:hAnsi="Times New Roman"/>
          <w:b/>
          <w:bCs/>
          <w:i w:val="false"/>
          <w:iCs w:val="false"/>
          <w:color w:val="1F2937"/>
          <w:sz w:val="22"/>
          <w:szCs w:val="22"/>
        </w:rPr>
        <w:t xml:space="preserve">50,62 ans</w:t>
      </w:r>
      <w:r>
        <w:rPr>
          <w:rFonts w:ascii="Times New Roman" w:cs="Times New Roman" w:eastAsia="Times New Roman" w:hAnsi="Times New Roman"/>
          <w:b w:val="false"/>
          <w:bCs w:val="false"/>
          <w:i w:val="false"/>
          <w:iCs w:val="false"/>
          <w:color w:val="1F2937"/>
          <w:sz w:val="22"/>
          <w:szCs w:val="22"/>
        </w:rPr>
        <w:t xml:space="preserve"> (années, éléments récents époque 2026-06-09).</w:t>
      </w:r>
    </w:p>
    <w:p>
      <w:pPr>
        <w:spacing w:after="100" w:before="60"/>
      </w:pPr>
      <w:r>
        <w:rPr>
          <w:rFonts w:ascii="Times New Roman" w:cs="Times New Roman" w:eastAsia="Times New Roman" w:hAnsi="Times New Roman"/>
          <w:b w:val="false"/>
          <w:bCs w:val="false"/>
          <w:i w:val="false"/>
          <w:iCs w:val="false"/>
          <w:color w:val="1F2937"/>
          <w:sz w:val="22"/>
          <w:szCs w:val="22"/>
        </w:rPr>
        <w:t xml:space="preserve">Écart entre les deux valeurs : environ 0,2 an, dû aux époques et aux éléments orbitaux utilisés. </w:t>
      </w:r>
      <w:r>
        <w:rPr>
          <w:rFonts w:ascii="Times New Roman" w:cs="Times New Roman" w:eastAsia="Times New Roman" w:hAnsi="Times New Roman"/>
          <w:b/>
          <w:bCs/>
          <w:i w:val="false"/>
          <w:iCs w:val="false"/>
          <w:color w:val="1F2937"/>
          <w:sz w:val="22"/>
          <w:szCs w:val="22"/>
        </w:rPr>
        <w:t xml:space="preserve">L'ordre de grandeur robuste : environ 50 à 51 ans.</w:t>
      </w:r>
      <w:r>
        <w:rPr>
          <w:rFonts w:ascii="Times New Roman" w:cs="Times New Roman" w:eastAsia="Times New Roman" w:hAnsi="Times New Roman"/>
          <w:b w:val="false"/>
          <w:bCs w:val="false"/>
          <w:i w:val="false"/>
          <w:iCs w:val="false"/>
          <w:color w:val="1F2937"/>
          <w:sz w:val="22"/>
          <w:szCs w:val="22"/>
        </w:rPr>
        <w:t xml:space="preserve"> Ni l'une ni l'autre source ne donne un chiffre unique à retenir ; les deux sont citées.</w:t>
      </w:r>
    </w:p>
    <w:p>
      <w:pPr>
        <w:spacing w:after="100" w:before="60"/>
      </w:pPr>
      <w:r>
        <w:rPr>
          <w:rFonts w:ascii="Times New Roman" w:cs="Times New Roman" w:eastAsia="Times New Roman" w:hAnsi="Times New Roman"/>
          <w:b w:val="false"/>
          <w:bCs w:val="false"/>
          <w:i w:val="false"/>
          <w:iCs w:val="false"/>
          <w:color w:val="1F2937"/>
          <w:sz w:val="22"/>
          <w:szCs w:val="22"/>
        </w:rPr>
        <w:t xml:space="preserve">Chiron revient donc à sa position natale approximativement vers l'âge de 50 à 51 ans. Ce retour est un fait orbital calculable ; la lecture symbolique que le corpus en tire est du Régime B (voir section 2.4).</w:t>
      </w:r>
    </w:p>
    <w:p>
      <w:pPr>
        <w:pStyle w:val="Heading3"/>
        <w:spacing w:after="80" w:before="200"/>
      </w:pPr>
      <w:r>
        <w:rPr>
          <w:rFonts w:ascii="Times New Roman" w:cs="Times New Roman" w:eastAsia="Times New Roman" w:hAnsi="Times New Roman"/>
          <w:b/>
          <w:bCs/>
          <w:color w:val="1F2937"/>
          <w:sz w:val="26"/>
          <w:szCs w:val="26"/>
        </w:rPr>
        <w:t xml:space="preserve">1.3 Le double statut astéroïde-comète</w:t>
      </w:r>
    </w:p>
    <w:p>
      <w:pPr>
        <w:spacing w:after="100" w:before="60"/>
      </w:pPr>
      <w:r>
        <w:t xml:space="preserve">La désignation 95P/Chiron tient à un comportement cométaire : l'émission d'une </w:t>
      </w:r>
      <w:r>
        <w:rPr>
          <w:b/>
          <w:bCs/>
        </w:rPr>
        <w:t xml:space="preserve">coma</w:t>
      </w:r>
      <w:r>
        <w:t xml:space="preserve"> — halo de gaz et de poussière — à l'approche du périhélie. Le statut de cette phrase demande une précision : l'observation elle-même n'est relevée sur aucune des pages citées ici, où « coma » compte zéro occurrence. Ce que porte la fiche principale du MPC, c'est la double désignation sur une seule ligne, « (2060) Chiron = 1977 UB = 95P », qu'elle ne commente pas ; la liste des comètes périodiques n'a pas été ouverte pendant cette exécution. De même, l'origine des centaures dans la ceinture de Kuiper et leur évolution vers des comètes à courte période ne figurent sur aucune page relevée — « Kuiper » et « transient » : zéro occurrence. La seule page ouverte qui décrive la catégorie est une notice de libraire, donc du Régime B, et elle écrit que les centaures sont des comètes à orbite courte croisant les planètes « from Jupiter to Pluto ». La MPC classe Chiron comme « Distant object » (objet lointain), catégorie englobant les centaures.</w:t>
      </w:r>
      <w:r>
        <w:rPr>
          <w:i/>
          <w:iCs/>
          <w:color w:val="6B7280"/>
          <w:sz w:val="20"/>
        </w:rPr>
        <w:t xml:space="preserve"> [Corrigé le 01/10/2026 : la leçon livrée donnait la coma, la ceinture de Kuiper et la population transitoire comme l'acquis scientifique du double statut, et affirmait que le MPC liste Chiron dans sa liste des comètes périodiques. Les deux pages du MPC citées n'en portent pas un mot (coma 0, Kuiper 0, transient 0) et la liste des comètes n'a pas été ouverte : c'était du Régime A sans source de Régime A]</w:t>
      </w:r>
    </w:p>
    <w:p>
      <w:pPr>
        <w:spacing w:after="100" w:before="60"/>
      </w:pPr>
      <w:r>
        <w:rPr>
          <w:rFonts w:ascii="Times New Roman" w:cs="Times New Roman" w:eastAsia="Times New Roman" w:hAnsi="Times New Roman"/>
          <w:b w:val="false"/>
          <w:bCs w:val="false"/>
          <w:i w:val="false"/>
          <w:iCs w:val="false"/>
          <w:color w:val="1F2937"/>
          <w:sz w:val="22"/>
          <w:szCs w:val="22"/>
        </w:rPr>
        <w:t xml:space="preserve">Dimension physique : le rayon de Chiron est estimé à environ </w:t>
      </w:r>
      <w:r>
        <w:rPr>
          <w:rFonts w:ascii="Times New Roman" w:cs="Times New Roman" w:eastAsia="Times New Roman" w:hAnsi="Times New Roman"/>
          <w:b/>
          <w:bCs/>
          <w:i w:val="false"/>
          <w:iCs w:val="false"/>
          <w:color w:val="1F2937"/>
          <w:sz w:val="22"/>
          <w:szCs w:val="22"/>
        </w:rPr>
        <w:t xml:space="preserve">83 km</w:t>
      </w:r>
      <w:r>
        <w:rPr>
          <w:rFonts w:ascii="Times New Roman" w:cs="Times New Roman" w:eastAsia="Times New Roman" w:hAnsi="Times New Roman"/>
          <w:b w:val="false"/>
          <w:bCs w:val="false"/>
          <w:i w:val="false"/>
          <w:iCs w:val="false"/>
          <w:color w:val="1F2937"/>
          <w:sz w:val="22"/>
          <w:szCs w:val="22"/>
        </w:rPr>
        <w:t xml:space="preserve"> (source : NASA/JPL Horizons, paramètre RAD= 83. dans les éléments physiques, testé 01/10/2026 — valeur approximative, non guarantie par le MPC pour cette précision). À titre de comparaison, c'est un corps modeste — la Lune a un rayon de 1 737 km, constante astronomique standard — mais bien réel et orbitalement défini.</w:t>
      </w:r>
    </w:p>
    <w:p>
      <w:pPr>
        <w:pStyle w:val="Heading3"/>
        <w:spacing w:after="80" w:before="200"/>
      </w:pPr>
      <w:r>
        <w:rPr>
          <w:rFonts w:ascii="Times New Roman" w:cs="Times New Roman" w:eastAsia="Times New Roman" w:hAnsi="Times New Roman"/>
          <w:b/>
          <w:bCs/>
          <w:color w:val="1F2937"/>
          <w:sz w:val="26"/>
          <w:szCs w:val="26"/>
        </w:rPr>
        <w:t xml:space="preserve">2. L'intégration dans le corpus astrologique (Régime B)</w:t>
      </w:r>
    </w:p>
    <w:p>
      <w:pPr>
        <w:pStyle w:val="Heading3"/>
        <w:spacing w:after="80" w:before="200"/>
      </w:pPr>
      <w:r>
        <w:rPr>
          <w:rFonts w:ascii="Times New Roman" w:cs="Times New Roman" w:eastAsia="Times New Roman" w:hAnsi="Times New Roman"/>
          <w:b/>
          <w:bCs/>
          <w:color w:val="1F2937"/>
          <w:sz w:val="26"/>
          <w:szCs w:val="26"/>
        </w:rPr>
        <w:t xml:space="preserve">2.1 La rapidité de l'intégration</w:t>
      </w:r>
    </w:p>
    <w:p>
      <w:pPr>
        <w:spacing w:after="100" w:before="60"/>
      </w:pPr>
      <w:r>
        <w:rPr>
          <w:rFonts w:ascii="Times New Roman" w:cs="Times New Roman" w:eastAsia="Times New Roman" w:hAnsi="Times New Roman"/>
          <w:b w:val="false"/>
          <w:bCs w:val="false"/>
          <w:i w:val="false"/>
          <w:iCs w:val="false"/>
          <w:color w:val="1F2937"/>
          <w:sz w:val="22"/>
          <w:szCs w:val="22"/>
        </w:rPr>
        <w:t xml:space="preserve">Selon Zane B. Stein, l'un des pionniers de l'astrologie chirologique, son propre travail sur Chiron a commencé aussitôt après la découverte. Ce que la page atteste est son parcours à lui, pas celui d'une communauté. Stein écrit sur son site (</w:t>
      </w:r>
      <w:hyperlink w:history="1" r:id="rIdmmlzphy9imqxm4v6ebsyr">
        <w:r>
          <w:rPr>
            <w:rFonts w:ascii="Times New Roman" w:cs="Times New Roman" w:eastAsia="Times New Roman" w:hAnsi="Times New Roman"/>
            <w:color w:val="1155CC"/>
            <w:sz w:val="22"/>
            <w:szCs w:val="22"/>
            <w:u w:val="single"/>
          </w:rPr>
          <w:t xml:space="preserve">zanestein.com/chiron.htm</w:t>
        </w:r>
      </w:hyperlink>
      <w:r>
        <w:rPr>
          <w:rFonts w:ascii="Times New Roman" w:cs="Times New Roman" w:eastAsia="Times New Roman" w:hAnsi="Times New Roman"/>
          <w:b w:val="false"/>
          <w:bCs w:val="false"/>
          <w:i w:val="false"/>
          <w:iCs w:val="false"/>
          <w:color w:val="1F2937"/>
          <w:sz w:val="22"/>
          <w:szCs w:val="22"/>
        </w:rPr>
        <w:t xml:space="preserve">, HTTP 200, 4 202 caractères utiles, testé 01/10/2026) : « I began studying Chiron only weeks after its discovery » — il a commencé à étudier Chiron quelques semaines seulement après sa découverte en 1977.</w:t>
      </w:r>
      <w:r>
        <w:rPr>
          <w:i/>
          <w:iCs/>
          <w:color w:val="6B7280"/>
          <w:sz w:val="20"/>
        </w:rPr>
        <w:t xml:space="preserve"> [Corrigé le 01/10/2026 : la leçon livrée concluait de ce témoignage que « l'appropriation du corps par la communauté astrologique a été immédiate ». La page ne parle que de son auteur]</w:t>
      </w:r>
    </w:p>
    <w:p>
      <w:pPr>
        <w:spacing w:after="100" w:before="60"/>
      </w:pPr>
      <w:r>
        <w:rPr>
          <w:rFonts w:ascii="Times New Roman" w:cs="Times New Roman" w:eastAsia="Times New Roman" w:hAnsi="Times New Roman"/>
          <w:b w:val="false"/>
          <w:bCs w:val="false"/>
          <w:i w:val="false"/>
          <w:iCs w:val="false"/>
          <w:color w:val="1F2937"/>
          <w:sz w:val="22"/>
          <w:szCs w:val="22"/>
        </w:rPr>
        <w:t xml:space="preserve">Stein décrit également la création de la catégorie « Centaures » dans le corpus : « Chiron was discovered in 1977, and was so different from anything else ever found that a whole new category had to be invented for it. When Chiron was discovered to have company in the early 1990's, this new category was given a name: The Centaurs. » (Zane Stein, page citée — citation anglaise vérifiée sur la page ouverte le 01/10/2026.)</w:t>
      </w:r>
    </w:p>
    <w:p>
      <w:pPr>
        <w:spacing w:after="100" w:before="60"/>
      </w:pPr>
      <w:r>
        <w:rPr>
          <w:rFonts w:ascii="Times New Roman" w:cs="Times New Roman" w:eastAsia="Times New Roman" w:hAnsi="Times New Roman"/>
          <w:b w:val="false"/>
          <w:bCs w:val="false"/>
          <w:i w:val="false"/>
          <w:iCs w:val="false"/>
          <w:color w:val="1F2937"/>
          <w:sz w:val="22"/>
          <w:szCs w:val="22"/>
        </w:rPr>
        <w:t xml:space="preserve">Cette vitesse d'intégration contraste avec le statut scientifique de Chiron, dont la catégorie ne reçoit son nom qu'une fois d'autres corps similaires découverts — « in the early 1990's », écrit Stein sur la page citée. La date est donc reprise du Régime B et non vérifiée en Régime A : aucune des sources d'astronomie ouvertes ici ne date la création de la catégorie, et la liste officielle du MPC n'est pas datée. Le corpus astrologique a devancé la classification scientifique — fait d'histoire du corpus, non jugement de valeur.</w:t>
      </w:r>
      <w:r>
        <w:rPr>
          <w:i/>
          <w:iCs/>
          <w:color w:val="6B7280"/>
          <w:sz w:val="20"/>
        </w:rPr>
        <w:t xml:space="preserve"> [Corrigé le 01/10/2026 : la leçon livrée plaçait « ne sera formellement classé « centaure » par le MPC que dans les années 1990 » du côté scientifique du contraste. La seule page consultée qui porte cette date est zanestein.com, un site d'astrologie — ce que le garde-fou 2 interdit pour un fait de ciel, et ce que le garde-fou 9 oblige à déclarer comme date reprise du Régime B]</w:t>
      </w:r>
    </w:p>
    <w:p>
      <w:pPr>
        <w:pStyle w:val="Heading3"/>
        <w:spacing w:after="80" w:before="200"/>
      </w:pPr>
      <w:r>
        <w:rPr>
          <w:rFonts w:ascii="Times New Roman" w:cs="Times New Roman" w:eastAsia="Times New Roman" w:hAnsi="Times New Roman"/>
          <w:b/>
          <w:bCs/>
          <w:color w:val="1F2937"/>
          <w:sz w:val="26"/>
          <w:szCs w:val="26"/>
        </w:rPr>
        <w:t xml:space="preserve">2.2 Le glyphe : la clé et son histoire</w:t>
      </w:r>
    </w:p>
    <w:p>
      <w:pPr>
        <w:spacing w:after="100" w:before="60"/>
      </w:pPr>
      <w:r>
        <w:rPr>
          <w:rFonts w:ascii="Times New Roman" w:cs="Times New Roman" w:eastAsia="Times New Roman" w:hAnsi="Times New Roman"/>
          <w:b w:val="false"/>
          <w:bCs w:val="false"/>
          <w:i w:val="false"/>
          <w:iCs w:val="false"/>
          <w:color w:val="1F2937"/>
          <w:sz w:val="22"/>
          <w:szCs w:val="22"/>
        </w:rPr>
        <w:t xml:space="preserve">Le glyphe astrologique de Chiron, décrit par CaféAstrology (</w:t>
      </w:r>
      <w:hyperlink w:history="1" r:id="rId5uutobe_j2qj0cizq5uxp">
        <w:r>
          <w:rPr>
            <w:rFonts w:ascii="Times New Roman" w:cs="Times New Roman" w:eastAsia="Times New Roman" w:hAnsi="Times New Roman"/>
            <w:color w:val="1155CC"/>
            <w:sz w:val="22"/>
            <w:szCs w:val="22"/>
            <w:u w:val="single"/>
          </w:rPr>
          <w:t xml:space="preserve">cafeastrology.com/chiron.html</w:t>
        </w:r>
      </w:hyperlink>
      <w:r>
        <w:rPr>
          <w:rFonts w:ascii="Times New Roman" w:cs="Times New Roman" w:eastAsia="Times New Roman" w:hAnsi="Times New Roman"/>
          <w:b w:val="false"/>
          <w:bCs w:val="false"/>
          <w:i w:val="false"/>
          <w:iCs w:val="false"/>
          <w:color w:val="1F2937"/>
          <w:sz w:val="22"/>
          <w:szCs w:val="22"/>
        </w:rPr>
        <w:t xml:space="preserve">, HTTP 200, 7 582 caractères, testé 01/10/2026) : « The glyph, or symbol, for Chiron resembles a key and is comprised of an 'O' and a 'K', representing 'Object Kowal', which was what Chiron was originally named (Charles Kowal discovered Chiron in 1977). » (Citation anglaise vérifiée sur la page ouverte.)</w:t>
      </w:r>
    </w:p>
    <w:p>
      <w:pPr>
        <w:spacing w:after="100" w:before="60"/>
      </w:pPr>
      <w:r>
        <w:rPr>
          <w:rFonts w:ascii="Times New Roman" w:cs="Times New Roman" w:eastAsia="Times New Roman" w:hAnsi="Times New Roman"/>
          <w:b w:val="false"/>
          <w:bCs w:val="false"/>
          <w:i w:val="false"/>
          <w:iCs w:val="false"/>
          <w:color w:val="1F2937"/>
          <w:sz w:val="22"/>
          <w:szCs w:val="22"/>
        </w:rPr>
        <w:t xml:space="preserve">Le glyphe porte donc directement la marque de sa découverte scientifique : la lettre initiale de Kowal et la désignation provisoire « Object Kowal ». C'est un cas rare dans le corpus astrologique où le symbole renvoie explicitement à l'histoire astronomique du corps.</w:t>
      </w:r>
    </w:p>
    <w:p>
      <w:pPr>
        <w:pStyle w:val="Heading3"/>
        <w:spacing w:after="80" w:before="200"/>
      </w:pPr>
      <w:r>
        <w:rPr>
          <w:rFonts w:ascii="Times New Roman" w:cs="Times New Roman" w:eastAsia="Times New Roman" w:hAnsi="Times New Roman"/>
          <w:b/>
          <w:bCs/>
          <w:color w:val="1F2937"/>
          <w:sz w:val="26"/>
          <w:szCs w:val="26"/>
        </w:rPr>
        <w:t xml:space="preserve">2.3 Le mythe et le « guérisseur blessé »</w:t>
      </w:r>
    </w:p>
    <w:p>
      <w:pPr>
        <w:spacing w:after="100" w:before="60"/>
      </w:pPr>
      <w:r>
        <w:rPr>
          <w:rFonts w:ascii="Times New Roman" w:cs="Times New Roman" w:eastAsia="Times New Roman" w:hAnsi="Times New Roman"/>
          <w:b w:val="false"/>
          <w:bCs w:val="false"/>
          <w:i w:val="false"/>
          <w:iCs w:val="false"/>
          <w:color w:val="1F2937"/>
          <w:sz w:val="22"/>
          <w:szCs w:val="22"/>
        </w:rPr>
        <w:t xml:space="preserve">Le choix du nom Chiron par Kowal a immédiatement orienté la lecture symbolique. L'approbation des noms de petits corps relève du groupe de travail de nomenclature de l'UAI — WGSBN, wgsbn-iau.org, HTTP 200, 7 918 caractères, ouvert le 01/10/2026 : il publie les règles de dénomination et le MPC y siège comme membre de droit. Le MPC, lui, publie la décision : ici la Minor Planet Circular 4359, référence imprimée sur la page citée. La notice du MPC rappelle le mythe : « The name is that of the wisest and most just of the Centaurs, son of Kronos and the ocean nymph Philyra. Beloved by Apollo and Diana, he learned from them botany, music, astronomy, divination and medicine and served in turn as instructor of the Greek heroes. » (MPC, page citée, texte relu le 01/10/2026.)</w:t>
      </w:r>
      <w:r>
        <w:rPr>
          <w:i/>
          <w:iCs/>
          <w:color w:val="6B7280"/>
          <w:sz w:val="20"/>
        </w:rPr>
        <w:t xml:space="preserve"> [Corrigé le 01/10/2026 : la leçon livrée écrivait « proposé et officialisé par le MPC, qui retient les noms mythologiques pour les astéroïdes ». Le MPC publie, il n'approuve pas — et le lien WGSBN figure dans la barre de navigation de la page même qui était citée]</w:t>
      </w:r>
    </w:p>
    <w:p>
      <w:pPr>
        <w:spacing w:after="100" w:before="60"/>
      </w:pPr>
      <w:r>
        <w:rPr>
          <w:rFonts w:ascii="Times New Roman" w:cs="Times New Roman" w:eastAsia="Times New Roman" w:hAnsi="Times New Roman"/>
          <w:b w:val="false"/>
          <w:bCs w:val="false"/>
          <w:i w:val="false"/>
          <w:iCs w:val="false"/>
          <w:color w:val="1F2937"/>
          <w:sz w:val="22"/>
          <w:szCs w:val="22"/>
        </w:rPr>
        <w:t xml:space="preserve">Dans le corpus astrologique, CaféAstrology formule le concept central de la lecture chirologique en ces termes : « Chiron is a comet with a unique and erratic orbit. In the natal chart, Chiron is symbolized by the 'wounded healer.' It represents our deepest wound and our efforts to heal the wound. Chiron was named after the centaur in Greek mythology who was a healer and teacher who, ironically, could not heal himself. » (CaféAstrology, page citée — citation anglaise, texte intégral vérifié le 01/10/2026, chiron=30 occurrences, healer=4.)</w:t>
      </w:r>
    </w:p>
    <w:p>
      <w:pPr>
        <w:spacing w:after="100" w:before="60"/>
      </w:pPr>
      <w:r>
        <w:rPr>
          <w:rFonts w:ascii="Times New Roman" w:cs="Times New Roman" w:eastAsia="Times New Roman" w:hAnsi="Times New Roman"/>
          <w:b w:val="false"/>
          <w:bCs w:val="false"/>
          <w:i w:val="false"/>
          <w:iCs w:val="false"/>
          <w:color w:val="1F2937"/>
          <w:sz w:val="22"/>
          <w:szCs w:val="22"/>
        </w:rPr>
        <w:t xml:space="preserve">Ce concept de « guérisseur blessé » — fondé sur la figure mythologique du centaure médecin-astronome atteint d'une blessure incurable — est la colonne vertébrale de la lecture chirologique dans le corpus contemporain.</w:t>
      </w:r>
    </w:p>
    <w:p>
      <w:pPr>
        <w:pStyle w:val="Heading3"/>
        <w:spacing w:after="80" w:before="200"/>
      </w:pPr>
      <w:r>
        <w:rPr>
          <w:rFonts w:ascii="Times New Roman" w:cs="Times New Roman" w:eastAsia="Times New Roman" w:hAnsi="Times New Roman"/>
          <w:b/>
          <w:bCs/>
          <w:color w:val="1F2937"/>
          <w:sz w:val="26"/>
          <w:szCs w:val="26"/>
        </w:rPr>
        <w:t xml:space="preserve">2.4 La lecture natale : signe, maison, aspects</w:t>
      </w:r>
    </w:p>
    <w:p>
      <w:pPr>
        <w:spacing w:after="100" w:before="60"/>
      </w:pPr>
      <w:r>
        <w:rPr>
          <w:rFonts w:ascii="Times New Roman" w:cs="Times New Roman" w:eastAsia="Times New Roman" w:hAnsi="Times New Roman"/>
          <w:b w:val="false"/>
          <w:bCs w:val="false"/>
          <w:i w:val="false"/>
          <w:iCs w:val="false"/>
          <w:color w:val="1F2937"/>
          <w:sz w:val="22"/>
          <w:szCs w:val="22"/>
        </w:rPr>
        <w:t xml:space="preserve">Toujours d'après CaféAstrology (page citée) : « Chiron in our natal charts points to where we have healing powers as the result of our own deep spiritual wounds. We may over-compensate in these areas of life. […] As such, Chiron in our charts is a place of great knowledge, experience, talent, and wisdom. […] Its sign and house placement show us our wound and how we go about expressing it. » (Citation anglaise, texte vérifié.)</w:t>
      </w:r>
    </w:p>
    <w:p>
      <w:pPr>
        <w:spacing w:after="100" w:before="60"/>
      </w:pPr>
      <w:r>
        <w:rPr>
          <w:rFonts w:ascii="Times New Roman" w:cs="Times New Roman" w:eastAsia="Times New Roman" w:hAnsi="Times New Roman"/>
          <w:b w:val="false"/>
          <w:bCs w:val="false"/>
          <w:i w:val="false"/>
          <w:iCs w:val="false"/>
          <w:color w:val="1F2937"/>
          <w:sz w:val="22"/>
          <w:szCs w:val="22"/>
        </w:rPr>
        <w:t xml:space="preserve">Le fonctionnement de la lecture chirologique en thème natal suit donc cette logique interne au corpus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 </w:t>
      </w:r>
      <w:r>
        <w:rPr>
          <w:rFonts w:ascii="Times New Roman" w:cs="Times New Roman" w:eastAsia="Times New Roman" w:hAnsi="Times New Roman"/>
          <w:b/>
          <w:bCs/>
          <w:i w:val="false"/>
          <w:iCs w:val="false"/>
          <w:color w:val="1F2937"/>
          <w:sz w:val="22"/>
          <w:szCs w:val="22"/>
        </w:rPr>
        <w:t xml:space="preserve">signe</w:t>
      </w:r>
      <w:r>
        <w:rPr>
          <w:rFonts w:ascii="Times New Roman" w:cs="Times New Roman" w:eastAsia="Times New Roman" w:hAnsi="Times New Roman"/>
          <w:b w:val="false"/>
          <w:bCs w:val="false"/>
          <w:i w:val="false"/>
          <w:iCs w:val="false"/>
          <w:color w:val="1F2937"/>
          <w:sz w:val="22"/>
          <w:szCs w:val="22"/>
        </w:rPr>
        <w:t xml:space="preserve"> de Chiron indique le </w:t>
      </w:r>
      <w:r>
        <w:rPr>
          <w:rFonts w:ascii="Times New Roman" w:cs="Times New Roman" w:eastAsia="Times New Roman" w:hAnsi="Times New Roman"/>
          <w:b w:val="false"/>
          <w:bCs w:val="false"/>
          <w:i/>
          <w:iCs/>
          <w:color w:val="1F2937"/>
          <w:sz w:val="22"/>
          <w:szCs w:val="22"/>
        </w:rPr>
        <w:t xml:space="preserve">mode</w:t>
      </w:r>
      <w:r>
        <w:rPr>
          <w:rFonts w:ascii="Times New Roman" w:cs="Times New Roman" w:eastAsia="Times New Roman" w:hAnsi="Times New Roman"/>
          <w:b w:val="false"/>
          <w:bCs w:val="false"/>
          <w:i w:val="false"/>
          <w:iCs w:val="false"/>
          <w:color w:val="1F2937"/>
          <w:sz w:val="22"/>
          <w:szCs w:val="22"/>
        </w:rPr>
        <w:t xml:space="preserve"> de la blessure — comment elle s'exprime et par quel registre symbolique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La </w:t>
      </w:r>
      <w:r>
        <w:rPr>
          <w:rFonts w:ascii="Times New Roman" w:cs="Times New Roman" w:eastAsia="Times New Roman" w:hAnsi="Times New Roman"/>
          <w:b/>
          <w:bCs/>
          <w:i w:val="false"/>
          <w:iCs w:val="false"/>
          <w:color w:val="1F2937"/>
          <w:sz w:val="22"/>
          <w:szCs w:val="22"/>
        </w:rPr>
        <w:t xml:space="preserve">maison</w:t>
      </w:r>
      <w:r>
        <w:rPr>
          <w:rFonts w:ascii="Times New Roman" w:cs="Times New Roman" w:eastAsia="Times New Roman" w:hAnsi="Times New Roman"/>
          <w:b w:val="false"/>
          <w:bCs w:val="false"/>
          <w:i w:val="false"/>
          <w:iCs w:val="false"/>
          <w:color w:val="1F2937"/>
          <w:sz w:val="22"/>
          <w:szCs w:val="22"/>
        </w:rPr>
        <w:t xml:space="preserve"> indique le </w:t>
      </w:r>
      <w:r>
        <w:rPr>
          <w:rFonts w:ascii="Times New Roman" w:cs="Times New Roman" w:eastAsia="Times New Roman" w:hAnsi="Times New Roman"/>
          <w:b w:val="false"/>
          <w:bCs w:val="false"/>
          <w:i/>
          <w:iCs/>
          <w:color w:val="1F2937"/>
          <w:sz w:val="22"/>
          <w:szCs w:val="22"/>
        </w:rPr>
        <w:t xml:space="preserve">domaine de vie</w:t>
      </w:r>
      <w:r>
        <w:rPr>
          <w:rFonts w:ascii="Times New Roman" w:cs="Times New Roman" w:eastAsia="Times New Roman" w:hAnsi="Times New Roman"/>
          <w:b w:val="false"/>
          <w:bCs w:val="false"/>
          <w:i w:val="false"/>
          <w:iCs w:val="false"/>
          <w:color w:val="1F2937"/>
          <w:sz w:val="22"/>
          <w:szCs w:val="22"/>
        </w:rPr>
        <w:t xml:space="preserve"> concerné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w:t>
      </w:r>
      <w:r>
        <w:rPr>
          <w:rFonts w:ascii="Times New Roman" w:cs="Times New Roman" w:eastAsia="Times New Roman" w:hAnsi="Times New Roman"/>
          <w:b/>
          <w:bCs/>
          <w:i w:val="false"/>
          <w:iCs w:val="false"/>
          <w:color w:val="1F2937"/>
          <w:sz w:val="22"/>
          <w:szCs w:val="22"/>
        </w:rPr>
        <w:t xml:space="preserve">aspects</w:t>
      </w:r>
      <w:r>
        <w:rPr>
          <w:rFonts w:ascii="Times New Roman" w:cs="Times New Roman" w:eastAsia="Times New Roman" w:hAnsi="Times New Roman"/>
          <w:b w:val="false"/>
          <w:bCs w:val="false"/>
          <w:i w:val="false"/>
          <w:iCs w:val="false"/>
          <w:color w:val="1F2937"/>
          <w:sz w:val="22"/>
          <w:szCs w:val="22"/>
        </w:rPr>
        <w:t xml:space="preserve"> de Chiron aux autres planètes et aux Nœuds lunaires (leçons 04–06) enrichissent la lecture en montrant quels autres principes entrent en résonance avec la blessure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Les </w:t>
      </w:r>
      <w:r>
        <w:rPr>
          <w:rFonts w:ascii="Times New Roman" w:cs="Times New Roman" w:eastAsia="Times New Roman" w:hAnsi="Times New Roman"/>
          <w:b/>
          <w:bCs/>
          <w:i w:val="false"/>
          <w:iCs w:val="false"/>
          <w:color w:val="1F2937"/>
          <w:sz w:val="22"/>
          <w:szCs w:val="22"/>
        </w:rPr>
        <w:t xml:space="preserve">transits de Chiron</w:t>
      </w:r>
      <w:r>
        <w:rPr>
          <w:rFonts w:ascii="Times New Roman" w:cs="Times New Roman" w:eastAsia="Times New Roman" w:hAnsi="Times New Roman"/>
          <w:b w:val="false"/>
          <w:bCs w:val="false"/>
          <w:i w:val="false"/>
          <w:iCs w:val="false"/>
          <w:color w:val="1F2937"/>
          <w:sz w:val="22"/>
          <w:szCs w:val="22"/>
        </w:rPr>
        <w:t xml:space="preserve"> « serve as time triggers », et les transits reçus par le Chiron natal « also time our ongoing work with our Chironic issues » — deux phrases distinctes de la page, pour deux sens de lecture distincts (CaféAstrology, page citée).</w:t>
      </w:r>
      <w:r>
        <w:rPr>
          <w:i/>
          <w:iCs/>
          <w:color w:val="6B7280"/>
          <w:sz w:val="20"/>
        </w:rPr>
        <w:t xml:space="preserve"> [Corrigé le 01/10/2026 : la leçon livrée prêtait « serve as time triggers » aux « transits sur Chiron natal ». La page dit cela des transits DE Chiron (« Chiron's transits serve as time triggers ») et réserve une phrase distincte aux transits REÇUS par le Chiron natal]</w:t>
      </w:r>
    </w:p>
    <w:p>
      <w:pPr>
        <w:pStyle w:val="Heading3"/>
        <w:spacing w:after="80" w:before="200"/>
      </w:pPr>
      <w:r>
        <w:rPr>
          <w:rFonts w:ascii="Times New Roman" w:cs="Times New Roman" w:eastAsia="Times New Roman" w:hAnsi="Times New Roman"/>
          <w:b/>
          <w:bCs/>
          <w:color w:val="1F2937"/>
          <w:sz w:val="26"/>
          <w:szCs w:val="26"/>
        </w:rPr>
        <w:t xml:space="preserve">2.5 Le retour de Chiron (Chiron return)</w:t>
      </w:r>
    </w:p>
    <w:p>
      <w:pPr>
        <w:spacing w:after="100" w:before="60"/>
      </w:pPr>
      <w:r>
        <w:rPr>
          <w:rFonts w:ascii="Times New Roman" w:cs="Times New Roman" w:eastAsia="Times New Roman" w:hAnsi="Times New Roman"/>
          <w:b w:val="false"/>
          <w:bCs w:val="false"/>
          <w:i w:val="false"/>
          <w:iCs w:val="false"/>
          <w:color w:val="1F2937"/>
          <w:sz w:val="22"/>
          <w:szCs w:val="22"/>
        </w:rPr>
        <w:t xml:space="preserve">La période orbitale d'environ 50 à 51 ans (Régime A, voir section 1.2) implique que Chiron transit revient à sa position natale vers cet âge. Dans la lecture courante du corpus — sans source spécifique consultée pour cette affirmation, puisque ni CaféAstrology ni le site de Stein ne détaillent ce passage — le retour de Chiron est lu comme un tournant majeur : le moment où la blessure fondamentale peut être intégrée plutôt que subie, et où le potentiel de « guérisseur blessé » peut s'actualiser pleinement.</w:t>
      </w:r>
    </w:p>
    <w:p>
      <w:pPr>
        <w:spacing w:after="100" w:before="60"/>
      </w:pPr>
      <w:r>
        <w:rPr>
          <w:rFonts w:ascii="Times New Roman" w:cs="Times New Roman" w:eastAsia="Times New Roman" w:hAnsi="Times New Roman"/>
          <w:b w:val="false"/>
          <w:bCs w:val="false"/>
          <w:i w:val="false"/>
          <w:iCs w:val="false"/>
          <w:color w:val="1F2937"/>
          <w:sz w:val="22"/>
          <w:szCs w:val="22"/>
        </w:rPr>
        <w:t xml:space="preserve">Ce retour présente une analogie structurelle avec le « retour de Saturne » (leçon 07, période ~29,5 ans) : dans les deux cas, le corpus interprète le retour d'un corps à sa position natale comme un marqueur de maturation. La base orbitale est une donnée de Régime A ; la lecture comme tournant de maturité est une convention du corpus, non testée empiriquement.</w:t>
      </w:r>
    </w:p>
    <w:p>
      <w:pPr>
        <w:pStyle w:val="Heading3"/>
        <w:spacing w:after="80" w:before="200"/>
      </w:pPr>
      <w:r>
        <w:rPr>
          <w:rFonts w:ascii="Times New Roman" w:cs="Times New Roman" w:eastAsia="Times New Roman" w:hAnsi="Times New Roman"/>
          <w:b/>
          <w:bCs/>
          <w:color w:val="1F2937"/>
          <w:sz w:val="26"/>
          <w:szCs w:val="26"/>
        </w:rPr>
        <w:t xml:space="preserve">2.6 Les auteurs fondateurs du corpus chirologique</w:t>
      </w:r>
    </w:p>
    <w:p>
      <w:pPr>
        <w:spacing w:after="100" w:before="60"/>
      </w:pPr>
      <w:r>
        <w:rPr>
          <w:rFonts w:ascii="Times New Roman" w:cs="Times New Roman" w:eastAsia="Times New Roman" w:hAnsi="Times New Roman"/>
          <w:b w:val="false"/>
          <w:bCs w:val="false"/>
          <w:i w:val="false"/>
          <w:iCs w:val="false"/>
          <w:color w:val="1F2937"/>
          <w:sz w:val="22"/>
          <w:szCs w:val="22"/>
        </w:rPr>
        <w:t xml:space="preserve">Deux ouvrages ont structuré la lecture chirologique dans le corpus occidental. Ces livres n'ont pas été consultés pendant cette exécution : les informations ci-dessous proviennent exclusivement des notices bibliographiques vérifiées.</w:t>
      </w:r>
    </w:p>
    <w:p>
      <w:pPr>
        <w:pBdr>
          <w:left w:val="thick" w:color="D97706" w:sz="24"/>
        </w:pBdr>
        <w:shd w:fill="FFF4E5" w:val="clear"/>
        <w:spacing w:after="60" w:before="80"/>
      </w:pPr>
      <w:r>
        <w:rPr>
          <w:rFonts w:ascii="Times New Roman" w:cs="Times New Roman" w:eastAsia="Times New Roman" w:hAnsi="Times New Roman"/>
          <w:b/>
          <w:bCs/>
          <w:i w:val="false"/>
          <w:iCs w:val="false"/>
          <w:color w:val="1F2937"/>
          <w:sz w:val="22"/>
          <w:szCs w:val="22"/>
        </w:rPr>
        <w:t xml:space="preserve">⚠️ Ouvrages non consultés pendant cette exécution. Aucune citation directe. Aucune attribution de thèse précise. Les titres, auteurs, éditeurs et ISBN sont tirés de notices bibliographiques vérifiées, citées ci-dessous.</w:t>
      </w:r>
    </w:p>
    <w:p>
      <w:pPr>
        <w:spacing w:after="100" w:before="60"/>
      </w:pPr>
      <w:r>
        <w:rPr>
          <w:rFonts w:ascii="Times New Roman" w:cs="Times New Roman" w:eastAsia="Times New Roman" w:hAnsi="Times New Roman"/>
          <w:b w:val="false"/>
          <w:bCs w:val="false"/>
          <w:i w:val="false"/>
          <w:iCs w:val="false"/>
          <w:color w:val="1F2937"/>
          <w:sz w:val="22"/>
          <w:szCs w:val="22"/>
        </w:rPr>
        <w:t xml:space="preserve">1. </w:t>
      </w:r>
      <w:r>
        <w:rPr>
          <w:rFonts w:ascii="Times New Roman" w:cs="Times New Roman" w:eastAsia="Times New Roman" w:hAnsi="Times New Roman"/>
          <w:b/>
          <w:bCs/>
          <w:i w:val="false"/>
          <w:iCs w:val="false"/>
          <w:color w:val="1F2937"/>
          <w:sz w:val="22"/>
          <w:szCs w:val="22"/>
        </w:rPr>
        <w:t xml:space="preserve">Barbara Hand Clow</w:t>
      </w: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val="false"/>
          <w:bCs w:val="false"/>
          <w:i/>
          <w:iCs/>
          <w:color w:val="1F2937"/>
          <w:sz w:val="22"/>
          <w:szCs w:val="22"/>
        </w:rPr>
        <w:t xml:space="preserve">Chiron: Rainbow Bridge Between the Inner &amp; Outer Planets (Llewellyn's Modern Astrology Library)</w:t>
      </w:r>
      <w:r>
        <w:rPr>
          <w:rFonts w:ascii="Times New Roman" w:cs="Times New Roman" w:eastAsia="Times New Roman" w:hAnsi="Times New Roman"/>
          <w:b w:val="false"/>
          <w:bCs w:val="false"/>
          <w:i w:val="false"/>
          <w:iCs w:val="false"/>
          <w:color w:val="1F2937"/>
          <w:sz w:val="22"/>
          <w:szCs w:val="22"/>
        </w:rPr>
        <w:t xml:space="preserve">, Llewellyn Publications, 1987 (rééditions ultérieures). ISBN-13 : 9780875420943. Notice : </w:t>
      </w:r>
      <w:hyperlink w:history="1" r:id="rIdos_nq4yfw3s2ecucvkfqz">
        <w:r>
          <w:rPr>
            <w:rFonts w:ascii="Times New Roman" w:cs="Times New Roman" w:eastAsia="Times New Roman" w:hAnsi="Times New Roman"/>
            <w:color w:val="1155CC"/>
            <w:sz w:val="22"/>
            <w:szCs w:val="22"/>
            <w:u w:val="single"/>
          </w:rPr>
          <w:t xml:space="preserve">abebooks.com — notice Clow</w:t>
        </w:r>
      </w:hyperlink>
      <w:r>
        <w:rPr>
          <w:rFonts w:ascii="Times New Roman" w:cs="Times New Roman" w:eastAsia="Times New Roman" w:hAnsi="Times New Roman"/>
          <w:b w:val="false"/>
          <w:bCs w:val="false"/>
          <w:i w:val="false"/>
          <w:iCs w:val="false"/>
          <w:color w:val="1F2937"/>
          <w:sz w:val="22"/>
          <w:szCs w:val="22"/>
        </w:rPr>
        <w:t xml:space="preserve"> (HTTP 200, 14 959 caractères, testé 01/10/2026, Chiron=71, Clow=20, Llewellyn=18). Cet ouvrage est l'un des premiers à traiter Chiron en profondeur, dès 1987 — titre seul confirmé par la notice.</w:t>
      </w:r>
      <w:r>
        <w:rPr>
          <w:i/>
          <w:iCs/>
          <w:color w:val="6B7280"/>
          <w:sz w:val="20"/>
        </w:rPr>
        <w:t xml:space="preserve"> [Corrigé le 01/10/2026 : le titre de la leçon livrée portait « Inner and Outer Planets » et omettait la collection ; la notice écrit « Inner &amp; Outer Planets (Llewellyn's Modern Astrology Library) »]</w:t>
      </w:r>
    </w:p>
    <w:p>
      <w:pPr>
        <w:spacing w:after="100" w:before="60"/>
      </w:pPr>
      <w:r>
        <w:rPr>
          <w:rFonts w:ascii="Times New Roman" w:cs="Times New Roman" w:eastAsia="Times New Roman" w:hAnsi="Times New Roman"/>
          <w:b w:val="false"/>
          <w:bCs w:val="false"/>
          <w:i w:val="false"/>
          <w:iCs w:val="false"/>
          <w:color w:val="1F2937"/>
          <w:sz w:val="22"/>
          <w:szCs w:val="22"/>
        </w:rPr>
        <w:t xml:space="preserve">2. </w:t>
      </w:r>
      <w:r>
        <w:rPr>
          <w:rFonts w:ascii="Times New Roman" w:cs="Times New Roman" w:eastAsia="Times New Roman" w:hAnsi="Times New Roman"/>
          <w:b/>
          <w:bCs/>
          <w:i w:val="false"/>
          <w:iCs w:val="false"/>
          <w:color w:val="1F2937"/>
          <w:sz w:val="22"/>
          <w:szCs w:val="22"/>
        </w:rPr>
        <w:t xml:space="preserve">Melanie Reinhart</w:t>
      </w:r>
      <w:r>
        <w:rPr>
          <w:rFonts w:ascii="Times New Roman" w:cs="Times New Roman" w:eastAsia="Times New Roman" w:hAnsi="Times New Roman"/>
          <w:b w:val="false"/>
          <w:bCs w:val="false"/>
          <w:i w:val="false"/>
          <w:iCs w:val="false"/>
          <w:color w:val="1F2937"/>
          <w:sz w:val="22"/>
          <w:szCs w:val="22"/>
        </w:rPr>
        <w:t xml:space="preserve">, </w:t>
      </w:r>
      <w:r>
        <w:rPr>
          <w:rFonts w:ascii="Times New Roman" w:cs="Times New Roman" w:eastAsia="Times New Roman" w:hAnsi="Times New Roman"/>
          <w:b w:val="false"/>
          <w:bCs w:val="false"/>
          <w:i/>
          <w:iCs/>
          <w:color w:val="1F2937"/>
          <w:sz w:val="22"/>
          <w:szCs w:val="22"/>
        </w:rPr>
        <w:t xml:space="preserve">Chiron and the Healing Journey</w:t>
      </w:r>
      <w:r>
        <w:rPr>
          <w:rFonts w:ascii="Times New Roman" w:cs="Times New Roman" w:eastAsia="Times New Roman" w:hAnsi="Times New Roman"/>
          <w:b w:val="false"/>
          <w:bCs w:val="false"/>
          <w:i w:val="false"/>
          <w:iCs w:val="false"/>
          <w:color w:val="1F2937"/>
          <w:sz w:val="22"/>
          <w:szCs w:val="22"/>
        </w:rPr>
        <w:t xml:space="preserve">, Arkana, 1989 puis 1999 ; éd. révisée Starwalker Press, avril 2010. ISBN-13 : 9780955823114. Notice : </w:t>
      </w:r>
      <w:hyperlink w:history="1" r:id="rIdjvas5a0mee0plmprux9qg">
        <w:r>
          <w:rPr>
            <w:rFonts w:ascii="Times New Roman" w:cs="Times New Roman" w:eastAsia="Times New Roman" w:hAnsi="Times New Roman"/>
            <w:color w:val="1155CC"/>
            <w:sz w:val="22"/>
            <w:szCs w:val="22"/>
            <w:u w:val="single"/>
          </w:rPr>
          <w:t xml:space="preserve">abebooks.co.uk — notice Reinhart</w:t>
        </w:r>
      </w:hyperlink>
      <w:r>
        <w:rPr>
          <w:rFonts w:ascii="Times New Roman" w:cs="Times New Roman" w:eastAsia="Times New Roman" w:hAnsi="Times New Roman"/>
          <w:b w:val="false"/>
          <w:bCs w:val="false"/>
          <w:i w:val="false"/>
          <w:iCs w:val="false"/>
          <w:color w:val="1F2937"/>
          <w:sz w:val="22"/>
          <w:szCs w:val="22"/>
        </w:rPr>
        <w:t xml:space="preserve"> (HTTP 200, 12 820 caractères, testé 01/10/2026, Reinhart=14, Chiron=35, Starwalker=13). La notice de la 3e édition (2010) ouvre son résumé par « A CONTEMPORARY CLASSIC. » et écrit « This book is a classic of original thinking, inspiration, depth of astrological experience and careful research », en annonçant pour cette révision « an entirely new section on the astronomy of Chiron ».</w:t>
      </w:r>
      <w:r>
        <w:rPr>
          <w:i/>
          <w:iCs/>
          <w:color w:val="6B7280"/>
          <w:sz w:val="20"/>
        </w:rPr>
        <w:t xml:space="preserve"> [Corrigé le 01/10/2026 : l'édition Arkana de 1999 manquait — la notice écrit « first published in 1989 and 1999 by Arkana, and in April 2010 in paperback by Starwalker Press ». ⚠️ ET UNE PREMIÈRE CORRECTION DU MÊME JOUR S'EST TROMPÉE : elle accusait « contemporary classic » d'être une citation fabriquée. La notice la PORTE, en capitales — « A CONTEMPORARY CLASSIC. » ouvre son résumé. Ma vérification avait été sensible à la casse ; l'accusation est retirée, la citation rétablie, et la phrase complète du résumé ajoutée à côté]</w:t>
      </w:r>
    </w:p>
    <w:p>
      <w:pPr>
        <w:spacing w:after="100" w:before="60"/>
      </w:pPr>
      <w:r>
        <w:rPr>
          <w:rFonts w:ascii="Times New Roman" w:cs="Times New Roman" w:eastAsia="Times New Roman" w:hAnsi="Times New Roman"/>
          <w:b w:val="false"/>
          <w:bCs w:val="false"/>
          <w:i w:val="false"/>
          <w:iCs w:val="false"/>
          <w:color w:val="1F2937"/>
          <w:sz w:val="22"/>
          <w:szCs w:val="22"/>
        </w:rPr>
        <w:t xml:space="preserve">3. </w:t>
      </w:r>
      <w:r>
        <w:rPr>
          <w:rFonts w:ascii="Times New Roman" w:cs="Times New Roman" w:eastAsia="Times New Roman" w:hAnsi="Times New Roman"/>
          <w:b/>
          <w:bCs/>
          <w:i w:val="false"/>
          <w:iCs w:val="false"/>
          <w:color w:val="1F2937"/>
          <w:sz w:val="22"/>
          <w:szCs w:val="22"/>
        </w:rPr>
        <w:t xml:space="preserve">Zane B. Stein</w:t>
      </w:r>
      <w:r>
        <w:rPr>
          <w:rFonts w:ascii="Times New Roman" w:cs="Times New Roman" w:eastAsia="Times New Roman" w:hAnsi="Times New Roman"/>
          <w:b w:val="false"/>
          <w:bCs w:val="false"/>
          <w:i w:val="false"/>
          <w:iCs w:val="false"/>
          <w:color w:val="1F2937"/>
          <w:sz w:val="22"/>
          <w:szCs w:val="22"/>
        </w:rPr>
        <w:t xml:space="preserve"> — pionnier depuis 1977, auteur de </w:t>
      </w:r>
      <w:r>
        <w:rPr>
          <w:rFonts w:ascii="Times New Roman" w:cs="Times New Roman" w:eastAsia="Times New Roman" w:hAnsi="Times New Roman"/>
          <w:b w:val="false"/>
          <w:bCs w:val="false"/>
          <w:i/>
          <w:iCs/>
          <w:color w:val="1F2937"/>
          <w:sz w:val="22"/>
          <w:szCs w:val="22"/>
        </w:rPr>
        <w:t xml:space="preserve">CHIRON - HEALER AND WHOLEMAKER</w:t>
      </w:r>
      <w:r>
        <w:rPr>
          <w:rFonts w:ascii="Times New Roman" w:cs="Times New Roman" w:eastAsia="Times New Roman" w:hAnsi="Times New Roman"/>
          <w:b w:val="false"/>
          <w:bCs w:val="false"/>
          <w:i w:val="false"/>
          <w:iCs w:val="false"/>
          <w:color w:val="1F2937"/>
          <w:sz w:val="22"/>
          <w:szCs w:val="22"/>
        </w:rPr>
        <w:t xml:space="preserve">. La définition que Stein propose sur son site : « Chiron is a major key to understanding, not only our solar system (in astronomy), but healing and wholemaking (in astrology) » (Zane Stein, </w:t>
      </w:r>
      <w:hyperlink w:history="1" r:id="rId9llelex0fgm7l_pmbjjat">
        <w:r>
          <w:rPr>
            <w:rFonts w:ascii="Times New Roman" w:cs="Times New Roman" w:eastAsia="Times New Roman" w:hAnsi="Times New Roman"/>
            <w:color w:val="1155CC"/>
            <w:sz w:val="22"/>
            <w:szCs w:val="22"/>
            <w:u w:val="single"/>
          </w:rPr>
          <w:t xml:space="preserve">zanestein.com/chiron.htm</w:t>
        </w:r>
      </w:hyperlink>
      <w:r>
        <w:rPr>
          <w:rFonts w:ascii="Times New Roman" w:cs="Times New Roman" w:eastAsia="Times New Roman" w:hAnsi="Times New Roman"/>
          <w:b w:val="false"/>
          <w:bCs w:val="false"/>
          <w:i w:val="false"/>
          <w:iCs w:val="false"/>
          <w:color w:val="1F2937"/>
          <w:sz w:val="22"/>
          <w:szCs w:val="22"/>
        </w:rPr>
        <w:t xml:space="preserve">, citation anglaise vérifiée le 01/10/2026).</w:t>
      </w:r>
      <w:r>
        <w:rPr>
          <w:i/>
          <w:iCs/>
          <w:color w:val="6B7280"/>
          <w:sz w:val="20"/>
        </w:rPr>
        <w:t xml:space="preserve"> [Corrigé le 01/10/2026 : la leçon livrée écrivait le titre avec deux points ; la page de Stein l'annonce en capitales et avec un tiret]</w:t>
      </w:r>
    </w:p>
    <w:p>
      <w:pPr>
        <w:pStyle w:val="Heading2"/>
        <w:spacing w:after="100" w:before="280"/>
      </w:pPr>
      <w:r>
        <w:rPr>
          <w:rFonts w:ascii="Times New Roman" w:cs="Times New Roman" w:eastAsia="Times New Roman" w:hAnsi="Times New Roman"/>
          <w:b/>
          <w:bCs/>
          <w:color w:val="1B3A6B"/>
          <w:sz w:val="30"/>
          <w:szCs w:val="30"/>
        </w:rPr>
        <w:t xml:space="preserve">🔭 Ce qui est observable, ce qui est interprétation</w:t>
      </w:r>
    </w:p>
    <w:p>
      <w:pPr>
        <w:pBdr>
          <w:left w:val="thick" w:color="1B3A6B" w:sz="24"/>
        </w:pBdr>
        <w:shd w:fill="EEF2F7" w:val="clear"/>
        <w:spacing w:after="80" w:before="60"/>
      </w:pPr>
      <w:r>
        <w:rPr>
          <w:rFonts w:ascii="Times New Roman" w:cs="Times New Roman" w:eastAsia="Times New Roman" w:hAnsi="Times New Roman"/>
          <w:b w:val="false"/>
          <w:bCs w:val="false"/>
          <w:i/>
          <w:iCs/>
          <w:color w:val="1F2937"/>
          <w:sz w:val="22"/>
          <w:szCs w:val="22"/>
        </w:rPr>
        <w:t xml:space="preserve">Section brève et sans jugement. Trois registres distincts, pour naviguer entre les données et leur usage dans le corpus.</w:t>
      </w:r>
    </w:p>
    <w:tbl>
      <w:tblPr>
        <w:tblW w:type="pct" w:w="100%"/>
        <w:tblBorders>
          <w:top w:val="single" w:color="1B3A6B" w:sz="4"/>
          <w:left w:val="single" w:color="1B3A6B" w:sz="4"/>
          <w:bottom w:val="single" w:color="1B3A6B" w:sz="4"/>
          <w:right w:val="single" w:color="1B3A6B" w:sz="4"/>
          <w:insideH w:val="single" w:color="auto" w:sz="4"/>
          <w:insideV w:val="single" w:color="auto" w:sz="4"/>
        </w:tblBorders>
      </w:tblPr>
      <w:tblGrid>
        <w:gridCol w:w="100"/>
        <w:gridCol w:w="100"/>
        <w:gridCol w:w="100"/>
      </w:tblGrid>
      <w:tr>
        <w:tc>
          <w:tcPr>
            <w:tcW w:type="pct" w:w="3333%"/>
            <w:shd w:fill="1B3A6B" w:val="clear"/>
            <w:vAlign w:val="center"/>
          </w:tcPr>
          <w:p>
            <w:pPr>
              <w:jc w:val="center"/>
            </w:pPr>
            <w:r>
              <w:rPr>
                <w:rFonts w:ascii="Times New Roman" w:cs="Times New Roman" w:eastAsia="Times New Roman" w:hAnsi="Times New Roman"/>
                <w:b/>
                <w:bCs/>
                <w:color w:val="FFFFFF"/>
                <w:sz w:val="20"/>
                <w:szCs w:val="20"/>
              </w:rPr>
              <w:t xml:space="preserve">Fait astronomique (source)</w:t>
            </w:r>
          </w:p>
        </w:tc>
        <w:tc>
          <w:tcPr>
            <w:tcW w:type="pct" w:w="3333%"/>
            <w:shd w:fill="1B3A6B" w:val="clear"/>
            <w:vAlign w:val="center"/>
          </w:tcPr>
          <w:p>
            <w:pPr>
              <w:jc w:val="center"/>
            </w:pPr>
            <w:r>
              <w:rPr>
                <w:rFonts w:ascii="Times New Roman" w:cs="Times New Roman" w:eastAsia="Times New Roman" w:hAnsi="Times New Roman"/>
                <w:b/>
                <w:bCs/>
                <w:color w:val="FFFFFF"/>
                <w:sz w:val="20"/>
                <w:szCs w:val="20"/>
              </w:rPr>
              <w:t xml:space="preserve">Ce que le corpus en fait (auteur)</w:t>
            </w:r>
          </w:p>
        </w:tc>
        <w:tc>
          <w:tcPr>
            <w:tcW w:type="pct" w:w="3333%"/>
            <w:shd w:fill="1B3A6B" w:val="clear"/>
            <w:vAlign w:val="center"/>
          </w:tcPr>
          <w:p>
            <w:pPr>
              <w:jc w:val="center"/>
            </w:pPr>
            <w:r>
              <w:rPr>
                <w:rFonts w:ascii="Times New Roman" w:cs="Times New Roman" w:eastAsia="Times New Roman" w:hAnsi="Times New Roman"/>
                <w:b/>
                <w:bCs/>
                <w:color w:val="FFFFFF"/>
                <w:sz w:val="20"/>
                <w:szCs w:val="20"/>
              </w:rPr>
              <w:t xml:space="preserve">Statut</w:t>
            </w:r>
          </w:p>
        </w:tc>
      </w:tr>
      <w:tr>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Chiron a été découvert le 18 octobre 1977 par C. T. Kowal à l'Observatoire Palomar. Il porte les désignations 2060 Chiron et 95P/Chiron (double statut astéroïde/comète). Source : </w:t>
            </w:r>
            <w:hyperlink w:history="1" r:id="rIdjhu57nllvt4we4hx_vuy3">
              <w:r>
                <w:rPr>
                  <w:rFonts w:ascii="Times New Roman" w:cs="Times New Roman" w:eastAsia="Times New Roman" w:hAnsi="Times New Roman"/>
                  <w:color w:val="1155CC"/>
                  <w:sz w:val="22"/>
                  <w:szCs w:val="22"/>
                  <w:u w:val="single"/>
                </w:rPr>
                <w:t xml:space="preserve">MPC/UAI — 2060 Chiron</w:t>
              </w:r>
            </w:hyperlink>
            <w:r>
              <w:rPr>
                <w:rFonts w:ascii="Times New Roman" w:cs="Times New Roman" w:eastAsia="Times New Roman" w:hAnsi="Times New Roman"/>
                <w:b w:val="false"/>
                <w:bCs w:val="false"/>
                <w:i w:val="false"/>
                <w:iCs w:val="false"/>
                <w:color w:val="1F2937"/>
                <w:sz w:val="22"/>
                <w:szCs w:val="22"/>
              </w:rPr>
              <w:t xml:space="preserve">, testé 01/10/2026.</w:t>
            </w:r>
          </w:p>
        </w:tc>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D'après CaféAstrology (page citée) : le glyphe de Chiron est une clé formée des lettres « O » et « K » représentant « Object Kowal ». Le nom choisi par Kowal — Chiron, le plus sage des Centaures — a orienté immédiatement la lecture symbolique.</w:t>
            </w:r>
          </w:p>
        </w:tc>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Fait de découverte : établi (MPC/UAI). Lien entre le nom mythologique et la lecture symbolique : convention interne au corpus, fondée sur le choix du nom par l'astronome lui-même — pas de lien causal.</w:t>
            </w:r>
          </w:p>
        </w:tc>
      </w:tr>
      <w:tr>
        <w:tc>
          <w:tcPr>
            <w:tcW w:type="pct" w:w="3333%"/>
            <w:shd w:fill="EEF2F7"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La période orbitale de Chiron est d'environ 50,4 à 50,6 ans selon les éléments utilisés (NASA/JPL Horizons : 50,41 ans ; MPC/UAI : 50,62 ans — sources Régime A, testées le 01/10/2026). Chiron revient donc à sa position natale vers l'âge de 50 à 51 ans.</w:t>
            </w:r>
          </w:p>
        </w:tc>
        <w:tc>
          <w:tcPr>
            <w:tcW w:type="pct" w:w="3333%"/>
            <w:shd w:fill="EEF2F7"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D'après la lecture courante du corpus (sans source consultée pour ce point précis) : le retour de Chiron est lu comme un tournant de guérison et d'intégration de la « blessure fondamentale » — moment où le potentiel du guérisseur blessé peut s'actualiser.</w:t>
            </w:r>
          </w:p>
        </w:tc>
        <w:tc>
          <w:tcPr>
            <w:tcW w:type="pct" w:w="3333%"/>
            <w:shd w:fill="EEF2F7"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Retour orbital : fait calculable (Régime A). Lecture comme tournant de maturité : convention du corpus, non testée empiriquement — même structure logique que le « retour de Saturne » (leçon 07).</w:t>
            </w:r>
          </w:p>
        </w:tc>
      </w:tr>
      <w:tr>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Chiron figure dans la liste officielle des centaures et objets du disque épars du MPC/UAI, et il y occupe la première ligne. C'est tout ce que cette page établit : elle ne porte ni la zone Jupiter-Neptune, ni l'instabilité dynamique, ni la coma — « Jupiter », « Neptune », « unstable » et « coma » y comptent zéro occurrence sur 337 927 caractères. La désignation 95P se relève sur la fiche principale, qui ne la commente pas. Source : </w:t>
            </w:r>
            <w:hyperlink w:history="1" r:id="rIdu9atemxsdi9engvdw3q63">
              <w:r>
                <w:rPr>
                  <w:rFonts w:ascii="Times New Roman" w:cs="Times New Roman" w:eastAsia="Times New Roman" w:hAnsi="Times New Roman"/>
                  <w:color w:val="1155CC"/>
                  <w:sz w:val="22"/>
                  <w:szCs w:val="22"/>
                  <w:u w:val="single"/>
                </w:rPr>
                <w:t xml:space="preserve">MPC/UAI — Liste des centaures</w:t>
              </w:r>
            </w:hyperlink>
            <w:r>
              <w:rPr>
                <w:rFonts w:ascii="Times New Roman" w:cs="Times New Roman" w:eastAsia="Times New Roman" w:hAnsi="Times New Roman"/>
                <w:b w:val="false"/>
                <w:bCs w:val="false"/>
                <w:i w:val="false"/>
                <w:iCs w:val="false"/>
                <w:color w:val="1F2937"/>
                <w:sz w:val="22"/>
                <w:szCs w:val="22"/>
              </w:rPr>
              <w:t xml:space="preserve">, testé 01/10/2026.</w:t>
            </w:r>
            <w:r>
              <w:rPr>
                <w:i/>
                <w:iCs/>
                <w:color w:val="6B7280"/>
                <w:sz w:val="20"/>
              </w:rPr>
              <w:t xml:space="preserve"> [Corrigé le 01/10/2026 : la leçon livrée donnait pour source la liste des centaures en lui faisant dire « corps orbitant dans la zone entre Jupiter et Neptune, dont l'orbite est dynamiquement instable sur des échelles de millions d'années. Il a développé une coma (comportement cométaire) à l'approche du périhélie ». Cette page est un tableau de nombres : aucun de ces quatre mots n'y figure]</w:t>
            </w:r>
          </w:p>
        </w:tc>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D'après Zane Stein (page citée) : « Chiron is a major key to understanding, not only our solar system (in astronomy), but healing and wholemaking (in astrology). » Le corpus s'appuie sur la double nature (rocher et gaz, astéroïde et comète) pour enrichir la lecture symbolique.</w:t>
            </w:r>
          </w:p>
        </w:tc>
        <w:tc>
          <w:tcPr>
            <w:tcW w:type="pct" w:w="3333%"/>
            <w:shd w:fill="FFFFFF" w:val="clear"/>
            <w:vAlign w:val="top"/>
          </w:tcPr>
          <w:p>
            <w:pPr>
              <w:spacing w:after="60" w:before="60"/>
            </w:pPr>
            <w:r>
              <w:rPr>
                <w:rFonts w:ascii="Times New Roman" w:cs="Times New Roman" w:eastAsia="Times New Roman" w:hAnsi="Times New Roman"/>
                <w:b w:val="false"/>
                <w:bCs w:val="false"/>
                <w:i w:val="false"/>
                <w:iCs w:val="false"/>
                <w:color w:val="1F2937"/>
                <w:sz w:val="22"/>
                <w:szCs w:val="22"/>
              </w:rPr>
              <w:t xml:space="preserve">Présence dans la liste des centaures, et première position : établi (MPC/UAI). Double désignation 2060 / 95P : établi (MPC/UAI). Zone orbitale de la catégorie, instabilité dynamique, coma : NON relevés sur les pages citées, donc retirés de la colonne « établi ». Lecture symbolique de cette double nature : convention interne au corpus, non testée.</w:t>
            </w:r>
            <w:r>
              <w:rPr>
                <w:i/>
                <w:iCs/>
                <w:color w:val="6B7280"/>
                <w:sz w:val="20"/>
              </w:rPr>
              <w:t xml:space="preserve"> [Corrigé le 01/10/2026 : la leçon livrée couvrait du seul mot « établi (MPC/UAI) » quatre affirmations dont trois ne sont sur aucune page citée. C'est le défaut de la leçon n°06 du 10/09/2026, où « Schulman et Spiller utilisent Placidus implicitement » était rangé dans la colonne « établi » sur sept pages où « Placidus » comptait zéro]</w:t>
            </w:r>
          </w:p>
        </w:tc>
      </w:tr>
    </w:tbl>
    <w:p>
      <w:pPr>
        <w:pStyle w:val="Heading2"/>
        <w:spacing w:after="100" w:before="280"/>
      </w:pPr>
      <w:r>
        <w:rPr>
          <w:rFonts w:ascii="Times New Roman" w:cs="Times New Roman" w:eastAsia="Times New Roman" w:hAnsi="Times New Roman"/>
          <w:b/>
          <w:bCs/>
          <w:color w:val="1B3A6B"/>
          <w:sz w:val="30"/>
          <w:szCs w:val="30"/>
        </w:rPr>
        <w:t xml:space="preserve">🔍 Pratique de lecture</w:t>
      </w:r>
    </w:p>
    <w:p>
      <w:pPr>
        <w:spacing w:after="100" w:before="60"/>
      </w:pPr>
      <w:r>
        <w:rPr>
          <w:rFonts w:ascii="Times New Roman" w:cs="Times New Roman" w:eastAsia="Times New Roman" w:hAnsi="Times New Roman"/>
          <w:b w:val="false"/>
          <w:bCs w:val="false"/>
          <w:i w:val="false"/>
          <w:iCs w:val="false"/>
          <w:color w:val="1F2937"/>
          <w:sz w:val="22"/>
          <w:szCs w:val="22"/>
        </w:rPr>
        <w:t xml:space="preserve">Exercice : identifier et lire Chiron dans un thème natal.</w:t>
      </w:r>
      <w:r>
        <w:rPr>
          <w:rFonts w:ascii="Times New Roman" w:cs="Times New Roman" w:eastAsia="Times New Roman" w:hAnsi="Times New Roman"/>
          <w:b/>
          <w:bCs/>
          <w:i w:val="false"/>
          <w:iCs w:val="false"/>
          <w:color w:val="1F2937"/>
          <w:sz w:val="22"/>
          <w:szCs w:val="22"/>
        </w:rPr>
        <w:t xml:space="preserve"> Mode opératoire complet.</w:t>
      </w:r>
    </w:p>
    <w:p>
      <w:pPr>
        <w:spacing w:after="100" w:before="60"/>
      </w:pPr>
      <w:r>
        <w:rPr>
          <w:rFonts w:ascii="Times New Roman" w:cs="Times New Roman" w:eastAsia="Times New Roman" w:hAnsi="Times New Roman"/>
          <w:b w:val="false"/>
          <w:bCs w:val="false"/>
          <w:i w:val="false"/>
          <w:iCs w:val="false"/>
          <w:color w:val="1F2937"/>
          <w:sz w:val="22"/>
          <w:szCs w:val="22"/>
        </w:rPr>
        <w:t xml:space="preserve">1. </w:t>
      </w:r>
      <w:r>
        <w:rPr>
          <w:rFonts w:ascii="Times New Roman" w:cs="Times New Roman" w:eastAsia="Times New Roman" w:hAnsi="Times New Roman"/>
          <w:b/>
          <w:bCs/>
          <w:i w:val="false"/>
          <w:iCs w:val="false"/>
          <w:color w:val="1F2937"/>
          <w:sz w:val="22"/>
          <w:szCs w:val="22"/>
        </w:rPr>
        <w:t xml:space="preserve">Accéder au thème natal</w:t>
      </w:r>
      <w:r>
        <w:rPr>
          <w:rFonts w:ascii="Times New Roman" w:cs="Times New Roman" w:eastAsia="Times New Roman" w:hAnsi="Times New Roman"/>
          <w:b w:val="false"/>
          <w:bCs w:val="false"/>
          <w:i w:val="false"/>
          <w:iCs w:val="false"/>
          <w:color w:val="1F2937"/>
          <w:sz w:val="22"/>
          <w:szCs w:val="22"/>
        </w:rPr>
        <w:t xml:space="preserve"> — Ouvrir </w:t>
      </w:r>
      <w:hyperlink w:history="1" r:id="rIdxmpzqzlqgutrkbkddkqqt">
        <w:r>
          <w:rPr>
            <w:rFonts w:ascii="Times New Roman" w:cs="Times New Roman" w:eastAsia="Times New Roman" w:hAnsi="Times New Roman"/>
            <w:color w:val="1155CC"/>
            <w:sz w:val="22"/>
            <w:szCs w:val="22"/>
            <w:u w:val="single"/>
          </w:rPr>
          <w:t xml:space="preserve">Astro.com — Extended Chart Selection</w:t>
        </w:r>
      </w:hyperlink>
      <w:r>
        <w:rPr>
          <w:rFonts w:ascii="Times New Roman" w:cs="Times New Roman" w:eastAsia="Times New Roman" w:hAnsi="Times New Roman"/>
          <w:b w:val="false"/>
          <w:bCs w:val="false"/>
          <w:i w:val="false"/>
          <w:iCs w:val="false"/>
          <w:color w:val="1F2937"/>
          <w:sz w:val="22"/>
          <w:szCs w:val="22"/>
        </w:rPr>
        <w:t xml:space="preserve"> : l'adresse exacte de la sélection étendue est astro.com/cgi/genchart.cgi (HTTP 200, ouverte le 01/10/2026). Elle demande les données de naissance ET un profil utilisateur : sans profil, elle n'affiche que « Enter birth data and create a user profile » / « Please log in », et la liste des objets supplémentaires où se cochent Chiron et le numéro 2060 n'y est pas visible. Elle n'a donc PAS été observée pendant cette exécution : la marche à suivre au-delà de l'inscription n'est pas garantie par cette leçon. Repère vérifiable sans compte : la page d'accueil astro.com donne les positions du jour, Chiron compris, avec la marque r de rétrogradation (relevé du 01/10/2026).</w:t>
      </w:r>
      <w:r>
        <w:rPr>
          <w:i/>
          <w:iCs/>
          <w:color w:val="6B7280"/>
          <w:sz w:val="20"/>
        </w:rPr>
        <w:t xml:space="preserve"> [Corrigé le 01/10/2026 : la leçon livrée faisait « choisir Extended Chart Selection dans Chart type » sur astro.com/cgi/chart.cgi, puis « cocher Chiron dans la liste des astéroïdes supplémentaires », en annonçant la page « HTTP 200, vérifié le 01/10/2026 ». Cette adresse rend 4 410 caractères de navigation et une invitation à créer un profil : le formulaire décrit n'y est pas, et « Extended Chart Selection » est une page distincte, pas un type de thème. C'est le garde-fou 8 appliqué à l'exercice — un 200 ne prouve pas qu'il y a quelque chose sur la page]</w:t>
      </w:r>
    </w:p>
    <w:p>
      <w:pPr>
        <w:spacing w:after="100" w:before="60"/>
      </w:pPr>
      <w:r>
        <w:rPr>
          <w:rFonts w:ascii="Times New Roman" w:cs="Times New Roman" w:eastAsia="Times New Roman" w:hAnsi="Times New Roman"/>
          <w:b w:val="false"/>
          <w:bCs w:val="false"/>
          <w:i w:val="false"/>
          <w:iCs w:val="false"/>
          <w:color w:val="1F2937"/>
          <w:sz w:val="22"/>
          <w:szCs w:val="22"/>
        </w:rPr>
        <w:t xml:space="preserve">2. </w:t>
      </w:r>
      <w:r>
        <w:rPr>
          <w:rFonts w:ascii="Times New Roman" w:cs="Times New Roman" w:eastAsia="Times New Roman" w:hAnsi="Times New Roman"/>
          <w:b/>
          <w:bCs/>
          <w:i w:val="false"/>
          <w:iCs w:val="false"/>
          <w:color w:val="1F2937"/>
          <w:sz w:val="22"/>
          <w:szCs w:val="22"/>
        </w:rPr>
        <w:t xml:space="preserve">Repérer Chiron</w:t>
      </w:r>
      <w:r>
        <w:rPr>
          <w:rFonts w:ascii="Times New Roman" w:cs="Times New Roman" w:eastAsia="Times New Roman" w:hAnsi="Times New Roman"/>
          <w:b w:val="false"/>
          <w:bCs w:val="false"/>
          <w:i w:val="false"/>
          <w:iCs w:val="false"/>
          <w:color w:val="1F2937"/>
          <w:sz w:val="22"/>
          <w:szCs w:val="22"/>
        </w:rPr>
        <w:t xml:space="preserve"> — Chiron apparaît avec son glyphe (la clé). Noter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Son </w:t>
      </w:r>
      <w:r>
        <w:rPr>
          <w:rFonts w:ascii="Times New Roman" w:cs="Times New Roman" w:eastAsia="Times New Roman" w:hAnsi="Times New Roman"/>
          <w:b/>
          <w:bCs/>
          <w:i w:val="false"/>
          <w:iCs w:val="false"/>
          <w:color w:val="1F2937"/>
          <w:sz w:val="22"/>
          <w:szCs w:val="22"/>
        </w:rPr>
        <w:t xml:space="preserve">signe</w:t>
      </w:r>
      <w:r>
        <w:rPr>
          <w:rFonts w:ascii="Times New Roman" w:cs="Times New Roman" w:eastAsia="Times New Roman" w:hAnsi="Times New Roman"/>
          <w:b w:val="false"/>
          <w:bCs w:val="false"/>
          <w:i w:val="false"/>
          <w:iCs w:val="false"/>
          <w:color w:val="1F2937"/>
          <w:sz w:val="22"/>
          <w:szCs w:val="22"/>
        </w:rPr>
        <w:t xml:space="preserve"> — le mode symbolique de la blessure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Sa </w:t>
      </w:r>
      <w:r>
        <w:rPr>
          <w:rFonts w:ascii="Times New Roman" w:cs="Times New Roman" w:eastAsia="Times New Roman" w:hAnsi="Times New Roman"/>
          <w:b/>
          <w:bCs/>
          <w:i w:val="false"/>
          <w:iCs w:val="false"/>
          <w:color w:val="1F2937"/>
          <w:sz w:val="22"/>
          <w:szCs w:val="22"/>
        </w:rPr>
        <w:t xml:space="preserve">maison</w:t>
      </w:r>
      <w:r>
        <w:rPr>
          <w:rFonts w:ascii="Times New Roman" w:cs="Times New Roman" w:eastAsia="Times New Roman" w:hAnsi="Times New Roman"/>
          <w:b w:val="false"/>
          <w:bCs w:val="false"/>
          <w:i w:val="false"/>
          <w:iCs w:val="false"/>
          <w:color w:val="1F2937"/>
          <w:sz w:val="22"/>
          <w:szCs w:val="22"/>
        </w:rPr>
        <w:t xml:space="preserve"> — le domaine de vie concerné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Ses </w:t>
      </w:r>
      <w:r>
        <w:rPr>
          <w:rFonts w:ascii="Times New Roman" w:cs="Times New Roman" w:eastAsia="Times New Roman" w:hAnsi="Times New Roman"/>
          <w:b/>
          <w:bCs/>
          <w:i w:val="false"/>
          <w:iCs w:val="false"/>
          <w:color w:val="1F2937"/>
          <w:sz w:val="22"/>
          <w:szCs w:val="22"/>
        </w:rPr>
        <w:t xml:space="preserve">aspects principaux</w:t>
      </w:r>
      <w:r>
        <w:rPr>
          <w:rFonts w:ascii="Times New Roman" w:cs="Times New Roman" w:eastAsia="Times New Roman" w:hAnsi="Times New Roman"/>
          <w:b w:val="false"/>
          <w:bCs w:val="false"/>
          <w:i w:val="false"/>
          <w:iCs w:val="false"/>
          <w:color w:val="1F2937"/>
          <w:sz w:val="22"/>
          <w:szCs w:val="22"/>
        </w:rPr>
        <w:t xml:space="preserve"> — conjonctions, oppositions, carrés (orbe recommandé : 5° pour les aspects majeurs).</w:t>
      </w:r>
    </w:p>
    <w:p>
      <w:pPr>
        <w:spacing w:after="100" w:before="60"/>
      </w:pPr>
      <w:r>
        <w:rPr>
          <w:rFonts w:ascii="Times New Roman" w:cs="Times New Roman" w:eastAsia="Times New Roman" w:hAnsi="Times New Roman"/>
          <w:b w:val="false"/>
          <w:bCs w:val="false"/>
          <w:i w:val="false"/>
          <w:iCs w:val="false"/>
          <w:color w:val="1F2937"/>
          <w:sz w:val="22"/>
          <w:szCs w:val="22"/>
        </w:rPr>
        <w:t xml:space="preserve">3. </w:t>
      </w:r>
      <w:r>
        <w:rPr>
          <w:rFonts w:ascii="Times New Roman" w:cs="Times New Roman" w:eastAsia="Times New Roman" w:hAnsi="Times New Roman"/>
          <w:b/>
          <w:bCs/>
          <w:i w:val="false"/>
          <w:iCs w:val="false"/>
          <w:color w:val="1F2937"/>
          <w:sz w:val="22"/>
          <w:szCs w:val="22"/>
        </w:rPr>
        <w:t xml:space="preserve">Lire le résultat</w:t>
      </w:r>
      <w:r>
        <w:rPr>
          <w:rFonts w:ascii="Times New Roman" w:cs="Times New Roman" w:eastAsia="Times New Roman" w:hAnsi="Times New Roman"/>
          <w:b w:val="false"/>
          <w:bCs w:val="false"/>
          <w:i w:val="false"/>
          <w:iCs w:val="false"/>
          <w:color w:val="1F2937"/>
          <w:sz w:val="22"/>
          <w:szCs w:val="22"/>
        </w:rPr>
        <w:t xml:space="preserve"> — Avec les éléments de cette leçon et en gardant la distinction des régimes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Le signe et la maison sont des </w:t>
      </w:r>
      <w:r>
        <w:rPr>
          <w:rFonts w:ascii="Times New Roman" w:cs="Times New Roman" w:eastAsia="Times New Roman" w:hAnsi="Times New Roman"/>
          <w:b/>
          <w:bCs/>
          <w:i w:val="false"/>
          <w:iCs w:val="false"/>
          <w:color w:val="1F2937"/>
          <w:sz w:val="22"/>
          <w:szCs w:val="22"/>
        </w:rPr>
        <w:t xml:space="preserve">positions calculables</w:t>
      </w:r>
      <w:r>
        <w:rPr>
          <w:rFonts w:ascii="Times New Roman" w:cs="Times New Roman" w:eastAsia="Times New Roman" w:hAnsi="Times New Roman"/>
          <w:b w:val="false"/>
          <w:bCs w:val="false"/>
          <w:i w:val="false"/>
          <w:iCs w:val="false"/>
          <w:color w:val="1F2937"/>
          <w:sz w:val="22"/>
          <w:szCs w:val="22"/>
        </w:rPr>
        <w:t xml:space="preserve"> (Régime A pour le calcul ; Régime B pour l'interprétation)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L'âge approximatif du retour de Chiron = 50 à 51 ans (période orbitale ~50,4–50,6 ans, Régime A). La lecture de ce retour comme tournant : convention du corpus (Régime B).</w:t>
      </w:r>
    </w:p>
    <w:p>
      <w:pPr>
        <w:spacing w:after="100" w:before="60"/>
      </w:pPr>
      <w:r>
        <w:rPr>
          <w:rFonts w:ascii="Times New Roman" w:cs="Times New Roman" w:eastAsia="Times New Roman" w:hAnsi="Times New Roman"/>
          <w:b w:val="false"/>
          <w:bCs w:val="false"/>
          <w:i w:val="false"/>
          <w:iCs w:val="false"/>
          <w:color w:val="1F2937"/>
          <w:sz w:val="22"/>
          <w:szCs w:val="22"/>
        </w:rPr>
        <w:t xml:space="preserve">4. </w:t>
      </w:r>
      <w:r>
        <w:rPr>
          <w:rFonts w:ascii="Times New Roman" w:cs="Times New Roman" w:eastAsia="Times New Roman" w:hAnsi="Times New Roman"/>
          <w:b/>
          <w:bCs/>
          <w:i w:val="false"/>
          <w:iCs w:val="false"/>
          <w:color w:val="1F2937"/>
          <w:sz w:val="22"/>
          <w:szCs w:val="22"/>
        </w:rPr>
        <w:t xml:space="preserve">Résultat attendu</w:t>
      </w:r>
      <w:r>
        <w:rPr>
          <w:rFonts w:ascii="Times New Roman" w:cs="Times New Roman" w:eastAsia="Times New Roman" w:hAnsi="Times New Roman"/>
          <w:b w:val="false"/>
          <w:bCs w:val="false"/>
          <w:i w:val="false"/>
          <w:iCs w:val="false"/>
          <w:color w:val="1F2937"/>
          <w:sz w:val="22"/>
          <w:szCs w:val="22"/>
        </w:rPr>
        <w:t xml:space="preserve"> — Tu dois pouvoir énoncer : « Dans ce thème, Chiron se trouve en [signe], maison [N°]. D'après la lecture du corpus, ce placement pointe vers [domaine]. Chiron est en aspect [aspect] avec [planète], ce qui selon le corpus indique [lecture]. Le retour de Chiron interviendra vers [année] pour cette personne née en [année]. » Cette formulation montre que tu distingues la position (calculable) de l'interprétation (convention du corpus).</w:t>
      </w:r>
    </w:p>
    <w:p>
      <w:pPr>
        <w:pStyle w:val="Heading2"/>
        <w:spacing w:after="100" w:before="280"/>
      </w:pPr>
      <w:r>
        <w:rPr>
          <w:rFonts w:ascii="Times New Roman" w:cs="Times New Roman" w:eastAsia="Times New Roman" w:hAnsi="Times New Roman"/>
          <w:b/>
          <w:bCs/>
          <w:color w:val="1B3A6B"/>
          <w:sz w:val="30"/>
          <w:szCs w:val="30"/>
        </w:rPr>
        <w:t xml:space="preserve">⚖️ Ce que la recherche a testé</w:t>
      </w:r>
    </w:p>
    <w:p>
      <w:pPr>
        <w:spacing w:after="100" w:before="60"/>
      </w:pPr>
      <w:r>
        <w:rPr>
          <w:rFonts w:ascii="Times New Roman" w:cs="Times New Roman" w:eastAsia="Times New Roman" w:hAnsi="Times New Roman"/>
          <w:b w:val="false"/>
          <w:bCs w:val="false"/>
          <w:i w:val="false"/>
          <w:iCs w:val="false"/>
          <w:color w:val="1F2937"/>
          <w:sz w:val="22"/>
          <w:szCs w:val="22"/>
        </w:rPr>
        <w:t xml:space="preserve">Cette section est brève car les études empiriques principales ont été présentées en leçon 01. Rappel :</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Shawn Carlson, « A double-blind test of astrology », </w:t>
      </w:r>
      <w:r>
        <w:rPr>
          <w:rFonts w:ascii="Times New Roman" w:cs="Times New Roman" w:eastAsia="Times New Roman" w:hAnsi="Times New Roman"/>
          <w:b w:val="false"/>
          <w:bCs w:val="false"/>
          <w:i/>
          <w:iCs/>
          <w:color w:val="1F2937"/>
          <w:sz w:val="22"/>
          <w:szCs w:val="22"/>
        </w:rPr>
        <w:t xml:space="preserve">Nature</w:t>
      </w:r>
      <w:r>
        <w:rPr>
          <w:rFonts w:ascii="Times New Roman" w:cs="Times New Roman" w:eastAsia="Times New Roman" w:hAnsi="Times New Roman"/>
          <w:b w:val="false"/>
          <w:bCs w:val="false"/>
          <w:i w:val="false"/>
          <w:iCs w:val="false"/>
          <w:color w:val="1F2937"/>
          <w:sz w:val="22"/>
          <w:szCs w:val="22"/>
        </w:rPr>
        <w:t xml:space="preserve">, vol. 318, 5 décembre 1985, p. 419–425 (</w:t>
      </w:r>
      <w:hyperlink w:history="1" r:id="rIdds6emgx3egz8-ebmovhgy">
        <w:r>
          <w:rPr>
            <w:rFonts w:ascii="Times New Roman" w:cs="Times New Roman" w:eastAsia="Times New Roman" w:hAnsi="Times New Roman"/>
            <w:color w:val="1155CC"/>
            <w:sz w:val="22"/>
            <w:szCs w:val="22"/>
            <w:u w:val="single"/>
          </w:rPr>
          <w:t xml:space="preserve">doi.org/10.1038/318419a0</w:t>
        </w:r>
      </w:hyperlink>
      <w:r>
        <w:rPr>
          <w:rFonts w:ascii="Times New Roman" w:cs="Times New Roman" w:eastAsia="Times New Roman" w:hAnsi="Times New Roman"/>
          <w:b w:val="false"/>
          <w:bCs w:val="false"/>
          <w:i w:val="false"/>
          <w:iCs w:val="false"/>
          <w:color w:val="1F2937"/>
          <w:sz w:val="22"/>
          <w:szCs w:val="22"/>
        </w:rPr>
        <w:t xml:space="preserve">) — test en double aveugle, résultats non distinguables du hasard.</w:t>
      </w:r>
    </w:p>
    <w:p>
      <w:pPr>
        <w:pStyle w:val="ListParagraph"/>
        <w:numPr>
          <w:ilvl w:val="0"/>
          <w:numId w:val="1"/>
        </w:numPr>
        <w:spacing w:after="40" w:before="40"/>
      </w:pPr>
      <w:r>
        <w:rPr>
          <w:rFonts w:ascii="Times New Roman" w:cs="Times New Roman" w:eastAsia="Times New Roman" w:hAnsi="Times New Roman"/>
          <w:b w:val="false"/>
          <w:bCs w:val="false"/>
          <w:i w:val="false"/>
          <w:iCs w:val="false"/>
          <w:color w:val="1F2937"/>
          <w:sz w:val="22"/>
          <w:szCs w:val="22"/>
        </w:rPr>
        <w:t xml:space="preserve">Geoffrey Dean et Ivan W. Kelly, « Is astrology relevant to consciousness and psi ? », </w:t>
      </w:r>
      <w:r>
        <w:rPr>
          <w:rFonts w:ascii="Times New Roman" w:cs="Times New Roman" w:eastAsia="Times New Roman" w:hAnsi="Times New Roman"/>
          <w:b w:val="false"/>
          <w:bCs w:val="false"/>
          <w:i/>
          <w:iCs/>
          <w:color w:val="1F2937"/>
          <w:sz w:val="22"/>
          <w:szCs w:val="22"/>
        </w:rPr>
        <w:t xml:space="preserve">Journal of Consciousness Studies</w:t>
      </w:r>
      <w:r>
        <w:rPr>
          <w:rFonts w:ascii="Times New Roman" w:cs="Times New Roman" w:eastAsia="Times New Roman" w:hAnsi="Times New Roman"/>
          <w:b w:val="false"/>
          <w:bCs w:val="false"/>
          <w:i w:val="false"/>
          <w:iCs w:val="false"/>
          <w:color w:val="1F2937"/>
          <w:sz w:val="22"/>
          <w:szCs w:val="22"/>
        </w:rPr>
        <w:t xml:space="preserve">, 10(6–7), 2003, p. 175–198 (</w:t>
      </w:r>
      <w:hyperlink w:history="1" r:id="rIdhrs8py4rf0apvbipdtbxh">
        <w:r>
          <w:rPr>
            <w:rFonts w:ascii="Times New Roman" w:cs="Times New Roman" w:eastAsia="Times New Roman" w:hAnsi="Times New Roman"/>
            <w:color w:val="1155CC"/>
            <w:sz w:val="22"/>
            <w:szCs w:val="22"/>
            <w:u w:val="single"/>
          </w:rPr>
          <w:t xml:space="preserve">journalpsyche.org/articles/0xc062.pdf</w:t>
        </w:r>
      </w:hyperlink>
      <w:r>
        <w:rPr>
          <w:rFonts w:ascii="Times New Roman" w:cs="Times New Roman" w:eastAsia="Times New Roman" w:hAnsi="Times New Roman"/>
          <w:b w:val="false"/>
          <w:bCs w:val="false"/>
          <w:i w:val="false"/>
          <w:iCs w:val="false"/>
          <w:color w:val="1F2937"/>
          <w:sz w:val="22"/>
          <w:szCs w:val="22"/>
        </w:rPr>
        <w:t xml:space="preserve">) — étude dite des « jumeaux temporels » portant sur plus de 2 000 personnes nées à Londres du 3 au 9 mars 1958, aucune similarité trouvée sur une centaine de caractéristiques.</w:t>
      </w:r>
    </w:p>
    <w:p>
      <w:pPr>
        <w:spacing w:after="100" w:before="60"/>
      </w:pPr>
      <w:r>
        <w:rPr>
          <w:rFonts w:ascii="Times New Roman" w:cs="Times New Roman" w:eastAsia="Times New Roman" w:hAnsi="Times New Roman"/>
          <w:b w:val="false"/>
          <w:bCs w:val="false"/>
          <w:i w:val="false"/>
          <w:iCs w:val="false"/>
          <w:color w:val="1F2937"/>
          <w:sz w:val="22"/>
          <w:szCs w:val="22"/>
        </w:rPr>
        <w:t xml:space="preserve">À noter : ces études ont porté sur les planètes classiques et le thème natal au sens large. Chiron lui-même (découvert en 1977) n'a pas été l'objet d'une étude empirique en double aveugle publiée dans une revue à comité de lecture — à la connaissance disponible au moment de cette exécution. L'absence d'étude sur Chiron n'est ni une validation ni une réfutation ; c'est un constat sur l'état de la littérature.</w:t>
      </w:r>
    </w:p>
    <w:p>
      <w:pPr>
        <w:pStyle w:val="Heading2"/>
        <w:spacing w:after="100" w:before="280"/>
      </w:pPr>
      <w:r>
        <w:rPr>
          <w:rFonts w:ascii="Times New Roman" w:cs="Times New Roman" w:eastAsia="Times New Roman" w:hAnsi="Times New Roman"/>
          <w:b/>
          <w:bCs/>
          <w:color w:val="1B3A6B"/>
          <w:sz w:val="30"/>
          <w:szCs w:val="30"/>
        </w:rPr>
        <w:t xml:space="preserve">📚 Ressources</w:t>
      </w:r>
    </w:p>
    <w:p>
      <w:pPr>
        <w:pStyle w:val="Heading3"/>
        <w:spacing w:after="80" w:before="200"/>
      </w:pPr>
      <w:r>
        <w:rPr>
          <w:rFonts w:ascii="Times New Roman" w:cs="Times New Roman" w:eastAsia="Times New Roman" w:hAnsi="Times New Roman"/>
          <w:b/>
          <w:bCs/>
          <w:color w:val="1F2937"/>
          <w:sz w:val="26"/>
          <w:szCs w:val="26"/>
        </w:rPr>
        <w:t xml:space="preserve">Sources d'astronomie (Régime A)</w:t>
      </w:r>
    </w:p>
    <w:p>
      <w:pPr>
        <w:pStyle w:val="ListParagraph"/>
        <w:numPr>
          <w:ilvl w:val="0"/>
          <w:numId w:val="1"/>
        </w:numPr>
        <w:spacing w:after="40" w:before="40"/>
      </w:pPr>
      <w:hyperlink w:history="1" r:id="rIdgdkaff5puwqaerqr8udt1">
        <w:r>
          <w:rPr>
            <w:rFonts w:ascii="Times New Roman" w:cs="Times New Roman" w:eastAsia="Times New Roman" w:hAnsi="Times New Roman"/>
            <w:color w:val="1155CC"/>
            <w:sz w:val="22"/>
            <w:szCs w:val="22"/>
            <w:u w:val="single"/>
          </w:rPr>
          <w:t xml:space="preserve">MPC/UAI — 2060 Chiron (base de données principale)</w:t>
        </w:r>
      </w:hyperlink>
      <w:r>
        <w:rPr>
          <w:rFonts w:ascii="Times New Roman" w:cs="Times New Roman" w:eastAsia="Times New Roman" w:hAnsi="Times New Roman"/>
          <w:b w:val="false"/>
          <w:bCs w:val="false"/>
          <w:i w:val="false"/>
          <w:iCs w:val="false"/>
          <w:color w:val="1F2937"/>
          <w:sz w:val="22"/>
          <w:szCs w:val="22"/>
        </w:rPr>
        <w:t xml:space="preserve"> — HTTP 200, 521 478 caractères, testé le 01/10/2026. Découverte, désignations, éléments orbitaux, statut cométaire 95P, origine du nom (MPC Circular 4359).</w:t>
      </w:r>
    </w:p>
    <w:p>
      <w:pPr>
        <w:pStyle w:val="ListParagraph"/>
        <w:numPr>
          <w:ilvl w:val="0"/>
          <w:numId w:val="1"/>
        </w:numPr>
        <w:spacing w:after="40" w:before="40"/>
      </w:pPr>
      <w:hyperlink w:history="1" r:id="rIdarx2fi-7updc_h3umbxco">
        <w:r>
          <w:rPr>
            <w:rFonts w:ascii="Times New Roman" w:cs="Times New Roman" w:eastAsia="Times New Roman" w:hAnsi="Times New Roman"/>
            <w:color w:val="1155CC"/>
            <w:sz w:val="22"/>
            <w:szCs w:val="22"/>
            <w:u w:val="single"/>
          </w:rPr>
          <w:t xml:space="preserve">MPC/UAI — Liste officielle des centaures et objets du disque épars</w:t>
        </w:r>
      </w:hyperlink>
      <w:r>
        <w:rPr>
          <w:rFonts w:ascii="Times New Roman" w:cs="Times New Roman" w:eastAsia="Times New Roman" w:hAnsi="Times New Roman"/>
          <w:b w:val="false"/>
          <w:bCs w:val="false"/>
          <w:i w:val="false"/>
          <w:iCs w:val="false"/>
          <w:color w:val="1F2937"/>
          <w:sz w:val="22"/>
          <w:szCs w:val="22"/>
        </w:rPr>
        <w:t xml:space="preserve"> — HTTP 200, 338 056 caractères, testé le 01/10/2026. Chiron en tête de liste, périhélie 8,487 UA, aphélie 18,881 UA, inclinaison 6,931°.</w:t>
      </w:r>
    </w:p>
    <w:p>
      <w:pPr>
        <w:pStyle w:val="ListParagraph"/>
        <w:numPr>
          <w:ilvl w:val="0"/>
          <w:numId w:val="1"/>
        </w:numPr>
        <w:spacing w:after="40" w:before="40"/>
      </w:pPr>
      <w:r>
        <w:rPr>
          <w:rFonts w:ascii="Times New Roman" w:cs="Times New Roman" w:eastAsia="Times New Roman" w:hAnsi="Times New Roman"/>
          <w:color w:val="1155CC"/>
          <w:sz w:val="22"/>
          <w:szCs w:val="22"/>
          <w:u w:val="single"/>
        </w:rPr>
        <w:t xml:space="preserve">NASA/JPL Horizons API (2060 Chiron)</w:t>
      </w:r>
      <w:r>
        <w:rPr>
          <w:rFonts w:ascii="Times New Roman" w:cs="Times New Roman" w:eastAsia="Times New Roman" w:hAnsi="Times New Roman"/>
          <w:b w:val="false"/>
          <w:bCs w:val="false"/>
          <w:i w:val="false"/>
          <w:iCs w:val="false"/>
          <w:color w:val="1F2937"/>
          <w:sz w:val="22"/>
          <w:szCs w:val="22"/>
        </w:rPr>
        <w:t xml:space="preserve"> — HTTP 200 (via API), testé le 01/10/2026. Période orbitale 50,41 ans, rayon ~83 km (paramètre physique RAD), éléments osculateurs à l'époque 2017-06-12, repère IAU76/J2000. Les deux valeurs se relèvent sur le point d'entrée ssd.jpl.nasa.gov/api/horizons.api avec les paramètres format=text, COMMAND=2060 et OBJ_DATA=YES ; la page ssd.jpl.nasa.gov/horizons/ listée au-dessus est un formulaire JavaScript qui rend 0 caractère à la lecture.</w:t>
      </w:r>
      <w:r>
        <w:rPr>
          <w:i/>
          <w:iCs/>
          <w:color w:val="6B7280"/>
          <w:sz w:val="20"/>
        </w:rPr>
        <w:t xml:space="preserve"> [Corrigé le 01/10/2026 : la leçon livrée ne publiait que ssd.jpl.nasa.gov/horizons/, page qui rend 0 caractère : aucune adresse imprimée ne portait les 50,41 ans ni les 83 km, et le contrôle commun l'avait signalée NON LUE en marquant les deux valeurs « absentes des pages citées ». Le point d'entrée réellement interrogé est désormais imprimé, pour que la mesure soit refaisable]</w:t>
      </w:r>
    </w:p>
    <w:p>
      <w:pPr>
        <w:pStyle w:val="ListParagraph"/>
        <w:numPr>
          <w:ilvl w:val="0"/>
          <w:numId w:val="1"/>
        </w:numPr>
        <w:spacing w:after="40" w:before="40"/>
      </w:pPr>
      <w:hyperlink w:history="1" r:id="rIdwgsbniau2026">
        <w:r>
          <w:rPr>
            <w:rFonts w:ascii="Times New Roman" w:cs="Times New Roman" w:eastAsia="Times New Roman" w:hAnsi="Times New Roman"/>
            <w:color w:val="1155CC"/>
            <w:sz w:val="22"/>
            <w:szCs w:val="22"/>
            <w:u w:val="single"/>
          </w:rPr>
          <w:t xml:space="preserve">UAI — Groupe de travail de nomenclature des petits corps (WGSBN)</w:t>
        </w:r>
      </w:hyperlink>
      <w:r>
        <w:rPr>
          <w:rFonts w:ascii="Times New Roman" w:cs="Times New Roman" w:eastAsia="Times New Roman" w:hAnsi="Times New Roman"/>
          <w:b w:val="false"/>
          <w:bCs w:val="false"/>
          <w:i w:val="false"/>
          <w:iCs w:val="false"/>
          <w:color w:val="1F2937"/>
          <w:sz w:val="22"/>
          <w:szCs w:val="22"/>
        </w:rPr>
        <w:t xml:space="preserve"> — HTTP 200, 7 918 caractères, ouvert le 01/10/2026. Autorité qui approuve les noms de petits corps et publie les règles de dénomination ; le MPC y siège comme membre de droit. Ajouté le 01/10/2026 avec la correction du paragraphe sur le choix du nom.</w:t>
      </w:r>
    </w:p>
    <w:p>
      <w:pPr>
        <w:pStyle w:val="Heading3"/>
        <w:spacing w:after="80" w:before="200"/>
      </w:pPr>
      <w:r>
        <w:rPr>
          <w:rFonts w:ascii="Times New Roman" w:cs="Times New Roman" w:eastAsia="Times New Roman" w:hAnsi="Times New Roman"/>
          <w:b/>
          <w:bCs/>
          <w:color w:val="1F2937"/>
          <w:sz w:val="26"/>
          <w:szCs w:val="26"/>
        </w:rPr>
        <w:t xml:space="preserve">Sources du corpus astrologique (Régime B)</w:t>
      </w:r>
    </w:p>
    <w:p>
      <w:pPr>
        <w:pStyle w:val="ListParagraph"/>
        <w:numPr>
          <w:ilvl w:val="0"/>
          <w:numId w:val="1"/>
        </w:numPr>
        <w:spacing w:after="40" w:before="40"/>
      </w:pPr>
      <w:hyperlink w:history="1" r:id="rIdvmgmlxrybkd3f9m7-pdse">
        <w:r>
          <w:rPr>
            <w:rFonts w:ascii="Times New Roman" w:cs="Times New Roman" w:eastAsia="Times New Roman" w:hAnsi="Times New Roman"/>
            <w:color w:val="1155CC"/>
            <w:sz w:val="22"/>
            <w:szCs w:val="22"/>
            <w:u w:val="single"/>
          </w:rPr>
          <w:t xml:space="preserve">Zane B. Stein — Chiron and Friends</w:t>
        </w:r>
      </w:hyperlink>
      <w:r>
        <w:rPr>
          <w:rFonts w:ascii="Times New Roman" w:cs="Times New Roman" w:eastAsia="Times New Roman" w:hAnsi="Times New Roman"/>
          <w:b w:val="false"/>
          <w:bCs w:val="false"/>
          <w:i w:val="false"/>
          <w:iCs w:val="false"/>
          <w:color w:val="1F2937"/>
          <w:sz w:val="22"/>
          <w:szCs w:val="22"/>
        </w:rPr>
        <w:t xml:space="preserve"> — HTTP 200, 4 202 caractères utiles, testé le 01/10/2026. Témoignage de pionnier (étude dès 1977), « healing and wholemaking », histoire de la catégorie Centaures.</w:t>
      </w:r>
    </w:p>
    <w:p>
      <w:pPr>
        <w:pStyle w:val="ListParagraph"/>
        <w:numPr>
          <w:ilvl w:val="0"/>
          <w:numId w:val="1"/>
        </w:numPr>
        <w:spacing w:after="40" w:before="40"/>
      </w:pPr>
      <w:hyperlink w:history="1" r:id="rId16havuuct9erkfgggwt95">
        <w:r>
          <w:rPr>
            <w:rFonts w:ascii="Times New Roman" w:cs="Times New Roman" w:eastAsia="Times New Roman" w:hAnsi="Times New Roman"/>
            <w:color w:val="1155CC"/>
            <w:sz w:val="22"/>
            <w:szCs w:val="22"/>
            <w:u w:val="single"/>
          </w:rPr>
          <w:t xml:space="preserve">CaféAstrology — Chiron in Astrology</w:t>
        </w:r>
      </w:hyperlink>
      <w:r>
        <w:rPr>
          <w:rFonts w:ascii="Times New Roman" w:cs="Times New Roman" w:eastAsia="Times New Roman" w:hAnsi="Times New Roman"/>
          <w:b w:val="false"/>
          <w:bCs w:val="false"/>
          <w:i w:val="false"/>
          <w:iCs w:val="false"/>
          <w:color w:val="1F2937"/>
          <w:sz w:val="22"/>
          <w:szCs w:val="22"/>
        </w:rPr>
        <w:t xml:space="preserve"> — HTTP 200, 7 582 caractères, testé le 01/10/2026. Symbolisme du « wounded healer », glyphe « Object Kowal », lecture natale.</w:t>
      </w:r>
    </w:p>
    <w:p>
      <w:pPr>
        <w:pStyle w:val="ListParagraph"/>
        <w:numPr>
          <w:ilvl w:val="0"/>
          <w:numId w:val="1"/>
        </w:numPr>
        <w:spacing w:after="40" w:before="40"/>
      </w:pPr>
      <w:hyperlink w:history="1" r:id="rIdmhcvjsckxhd2l4ezhw8x8">
        <w:r>
          <w:rPr>
            <w:rFonts w:ascii="Times New Roman" w:cs="Times New Roman" w:eastAsia="Times New Roman" w:hAnsi="Times New Roman"/>
            <w:color w:val="1155CC"/>
            <w:sz w:val="22"/>
            <w:szCs w:val="22"/>
            <w:u w:val="single"/>
          </w:rPr>
          <w:t xml:space="preserve">Astro.com — Extended Chart Selection (outil de thème natal)</w:t>
        </w:r>
      </w:hyperlink>
      <w:r>
        <w:rPr>
          <w:rFonts w:ascii="Times New Roman" w:cs="Times New Roman" w:eastAsia="Times New Roman" w:hAnsi="Times New Roman"/>
          <w:b w:val="false"/>
          <w:bCs w:val="false"/>
          <w:i w:val="false"/>
          <w:iCs w:val="false"/>
          <w:color w:val="1F2937"/>
          <w:sz w:val="22"/>
          <w:szCs w:val="22"/>
        </w:rPr>
        <w:t xml:space="preserve"> — HTTP 200, testé le 01/10/2026 : page d'entrée, 4 410 caractères, qui demande un profil utilisateur. La sélection étendue elle-même est à astro.com/cgi/genchart.cgi, également derrière le profil.</w:t>
      </w:r>
      <w:r>
        <w:rPr>
          <w:i/>
          <w:iCs/>
          <w:color w:val="6B7280"/>
          <w:sz w:val="20"/>
        </w:rPr>
        <w:t xml:space="preserve"> [Corrigé le 01/10/2026 : la leçon livrée annonçait cette adresse comme l'« outil de référence pour l'exercice pratique » sans dire qu'elle ne porte pas le formulaire]</w:t>
      </w:r>
    </w:p>
    <w:p>
      <w:pPr>
        <w:pStyle w:val="ListParagraph"/>
        <w:numPr>
          <w:ilvl w:val="0"/>
          <w:numId w:val="1"/>
        </w:numPr>
        <w:spacing w:after="40" w:before="40"/>
      </w:pPr>
      <w:hyperlink w:history="1" r:id="rIdastrogenchart2026">
        <w:r>
          <w:rPr>
            <w:rFonts w:ascii="Times New Roman" w:cs="Times New Roman" w:eastAsia="Times New Roman" w:hAnsi="Times New Roman"/>
            <w:color w:val="1155CC"/>
            <w:sz w:val="22"/>
            <w:szCs w:val="22"/>
            <w:u w:val="single"/>
          </w:rPr>
          <w:t xml:space="preserve">Astro.com — Extended Chart Selection (page de sélection étendue)</w:t>
        </w:r>
      </w:hyperlink>
      <w:r>
        <w:rPr>
          <w:rFonts w:ascii="Times New Roman" w:cs="Times New Roman" w:eastAsia="Times New Roman" w:hAnsi="Times New Roman"/>
          <w:b w:val="false"/>
          <w:bCs w:val="false"/>
          <w:i w:val="false"/>
          <w:iCs w:val="false"/>
          <w:color w:val="1F2937"/>
          <w:sz w:val="22"/>
          <w:szCs w:val="22"/>
        </w:rPr>
        <w:t xml:space="preserve"> — HTTP 200, ouverte le 01/10/2026 : elle affiche son titre puis demande les données de naissance et un profil utilisateur ; la liste des objets supplémentaires n'est pas visible sans profil. Ajoutée le 01/10/2026 avec la correction de l'exercice, qui citait cette adresse sans la lister.</w:t>
      </w:r>
    </w:p>
    <w:p>
      <w:pPr>
        <w:pStyle w:val="Heading3"/>
        <w:spacing w:after="80" w:before="200"/>
      </w:pPr>
      <w:r>
        <w:rPr>
          <w:rFonts w:ascii="Times New Roman" w:cs="Times New Roman" w:eastAsia="Times New Roman" w:hAnsi="Times New Roman"/>
          <w:b/>
          <w:bCs/>
          <w:color w:val="1F2937"/>
          <w:sz w:val="26"/>
          <w:szCs w:val="26"/>
        </w:rPr>
        <w:t xml:space="preserve">Notices bibliographiques (ouvrages non consultés)</w:t>
      </w:r>
    </w:p>
    <w:p>
      <w:pPr>
        <w:pStyle w:val="ListParagraph"/>
        <w:numPr>
          <w:ilvl w:val="0"/>
          <w:numId w:val="1"/>
        </w:numPr>
        <w:spacing w:after="40" w:before="40"/>
      </w:pPr>
      <w:hyperlink w:history="1" r:id="rIde_31yfglqi1qpko5vhrj0">
        <w:r>
          <w:rPr>
            <w:rFonts w:ascii="Times New Roman" w:cs="Times New Roman" w:eastAsia="Times New Roman" w:hAnsi="Times New Roman"/>
            <w:color w:val="1155CC"/>
            <w:sz w:val="22"/>
            <w:szCs w:val="22"/>
            <w:u w:val="single"/>
          </w:rPr>
          <w:t xml:space="preserve">AbeBooks — Barbara Hand Clow, Chiron: Rainbow Bridge, Llewellyn 1987, ISBN 9780875420943</w:t>
        </w:r>
      </w:hyperlink>
      <w:r>
        <w:rPr>
          <w:rFonts w:ascii="Times New Roman" w:cs="Times New Roman" w:eastAsia="Times New Roman" w:hAnsi="Times New Roman"/>
          <w:b w:val="false"/>
          <w:bCs w:val="false"/>
          <w:i w:val="false"/>
          <w:iCs w:val="false"/>
          <w:color w:val="1F2937"/>
          <w:sz w:val="22"/>
          <w:szCs w:val="22"/>
        </w:rPr>
        <w:t xml:space="preserve"> — HTTP 200, testé le 01/10/2026.</w:t>
      </w:r>
    </w:p>
    <w:p>
      <w:pPr>
        <w:pStyle w:val="ListParagraph"/>
        <w:numPr>
          <w:ilvl w:val="0"/>
          <w:numId w:val="1"/>
        </w:numPr>
        <w:spacing w:after="40" w:before="40"/>
      </w:pPr>
      <w:hyperlink w:history="1" r:id="rIdsp9hza5qcvxygqrvb7f7x">
        <w:r>
          <w:rPr>
            <w:rFonts w:ascii="Times New Roman" w:cs="Times New Roman" w:eastAsia="Times New Roman" w:hAnsi="Times New Roman"/>
            <w:color w:val="1155CC"/>
            <w:sz w:val="22"/>
            <w:szCs w:val="22"/>
            <w:u w:val="single"/>
          </w:rPr>
          <w:t xml:space="preserve">AbeBooks — Melanie Reinhart, Chiron and the Healing Journey, Starwalker Press 2010, ISBN 9780955823114</w:t>
        </w:r>
      </w:hyperlink>
      <w:r>
        <w:rPr>
          <w:rFonts w:ascii="Times New Roman" w:cs="Times New Roman" w:eastAsia="Times New Roman" w:hAnsi="Times New Roman"/>
          <w:b w:val="false"/>
          <w:bCs w:val="false"/>
          <w:i w:val="false"/>
          <w:iCs w:val="false"/>
          <w:color w:val="1F2937"/>
          <w:sz w:val="22"/>
          <w:szCs w:val="22"/>
        </w:rPr>
        <w:t xml:space="preserve"> — HTTP 200, testé le 01/10/2026.</w:t>
      </w:r>
    </w:p>
    <w:p>
      <w:pPr>
        <w:pStyle w:val="Heading3"/>
        <w:spacing w:after="80" w:before="200"/>
      </w:pPr>
      <w:r>
        <w:rPr>
          <w:rFonts w:ascii="Times New Roman" w:cs="Times New Roman" w:eastAsia="Times New Roman" w:hAnsi="Times New Roman"/>
          <w:b/>
          <w:bCs/>
          <w:color w:val="1F2937"/>
          <w:sz w:val="26"/>
          <w:szCs w:val="26"/>
        </w:rPr>
        <w:t xml:space="preserve">Études citées (section recherche)</w:t>
      </w:r>
    </w:p>
    <w:p>
      <w:pPr>
        <w:pStyle w:val="ListParagraph"/>
        <w:numPr>
          <w:ilvl w:val="0"/>
          <w:numId w:val="1"/>
        </w:numPr>
        <w:spacing w:after="40" w:before="40"/>
      </w:pPr>
      <w:hyperlink w:history="1" r:id="rIdva6yyekfkq1avb9pcc0tz">
        <w:r>
          <w:rPr>
            <w:rFonts w:ascii="Times New Roman" w:cs="Times New Roman" w:eastAsia="Times New Roman" w:hAnsi="Times New Roman"/>
            <w:color w:val="1155CC"/>
            <w:sz w:val="22"/>
            <w:szCs w:val="22"/>
            <w:u w:val="single"/>
          </w:rPr>
          <w:t xml:space="preserve">Carlson, S., « A double-blind test of astrology », Nature, vol. 318, 1985, p. 419–425</w:t>
        </w:r>
      </w:hyperlink>
      <w:r>
        <w:rPr>
          <w:rFonts w:ascii="Times New Roman" w:cs="Times New Roman" w:eastAsia="Times New Roman" w:hAnsi="Times New Roman"/>
          <w:b w:val="false"/>
          <w:bCs w:val="false"/>
          <w:i w:val="false"/>
          <w:iCs w:val="false"/>
          <w:color w:val="1F2937"/>
          <w:sz w:val="22"/>
          <w:szCs w:val="22"/>
        </w:rPr>
        <w:t xml:space="preserve"> (déjà cité en leçon 01).</w:t>
      </w:r>
    </w:p>
    <w:p>
      <w:pPr>
        <w:pStyle w:val="ListParagraph"/>
        <w:numPr>
          <w:ilvl w:val="0"/>
          <w:numId w:val="1"/>
        </w:numPr>
        <w:spacing w:after="40" w:before="40"/>
      </w:pPr>
      <w:hyperlink w:history="1" r:id="rId0pnw6xetgnddpyc-oy0nc">
        <w:r>
          <w:rPr>
            <w:rFonts w:ascii="Times New Roman" w:cs="Times New Roman" w:eastAsia="Times New Roman" w:hAnsi="Times New Roman"/>
            <w:color w:val="1155CC"/>
            <w:sz w:val="22"/>
            <w:szCs w:val="22"/>
            <w:u w:val="single"/>
          </w:rPr>
          <w:t xml:space="preserve">Dean, G. &amp; Kelly, I. W., « Is astrology relevant to consciousness and psi ? », JCS, 10(6–7), 2003, p. 175–198</w:t>
        </w:r>
      </w:hyperlink>
      <w:r>
        <w:rPr>
          <w:rFonts w:ascii="Times New Roman" w:cs="Times New Roman" w:eastAsia="Times New Roman" w:hAnsi="Times New Roman"/>
          <w:b w:val="false"/>
          <w:bCs w:val="false"/>
          <w:i w:val="false"/>
          <w:iCs w:val="false"/>
          <w:color w:val="1F2937"/>
          <w:sz w:val="22"/>
          <w:szCs w:val="22"/>
        </w:rPr>
        <w:t xml:space="preserve"> (déjà cité en leçon 01).</w:t>
      </w:r>
    </w:p>
    <w:p>
      <w:pPr>
        <w:pStyle w:val="Heading2"/>
        <w:spacing w:after="100" w:before="280"/>
      </w:pPr>
      <w:r>
        <w:rPr>
          <w:rFonts w:ascii="Times New Roman" w:cs="Times New Roman" w:eastAsia="Times New Roman" w:hAnsi="Times New Roman"/>
          <w:b/>
          <w:bCs/>
          <w:color w:val="1B3A6B"/>
          <w:sz w:val="30"/>
          <w:szCs w:val="30"/>
        </w:rPr>
        <w:t xml:space="preserve">🔜 Prochaine leçon</w:t>
      </w:r>
    </w:p>
    <w:p>
      <w:pPr>
        <w:spacing w:after="100" w:before="60"/>
      </w:pPr>
      <w:r>
        <w:rPr>
          <w:rFonts w:ascii="Times New Roman" w:cs="Times New Roman" w:eastAsia="Times New Roman" w:hAnsi="Times New Roman"/>
          <w:b w:val="false"/>
          <w:bCs w:val="false"/>
          <w:i w:val="false"/>
          <w:iCs w:val="false"/>
          <w:color w:val="1F2937"/>
          <w:sz w:val="22"/>
          <w:szCs w:val="22"/>
        </w:rPr>
        <w:t xml:space="preserve">Leçon 10 — </w:t>
      </w:r>
      <w:r>
        <w:rPr>
          <w:rFonts w:ascii="Times New Roman" w:cs="Times New Roman" w:eastAsia="Times New Roman" w:hAnsi="Times New Roman"/>
          <w:b/>
          <w:bCs/>
          <w:i w:val="false"/>
          <w:iCs w:val="false"/>
          <w:color w:val="1F2937"/>
          <w:sz w:val="22"/>
          <w:szCs w:val="22"/>
        </w:rPr>
        <w:t xml:space="preserve">Lilith et les points fictifs</w:t>
      </w:r>
      <w:r>
        <w:rPr>
          <w:rFonts w:ascii="Times New Roman" w:cs="Times New Roman" w:eastAsia="Times New Roman" w:hAnsi="Times New Roman"/>
          <w:b w:val="false"/>
          <w:bCs w:val="false"/>
          <w:i w:val="false"/>
          <w:iCs w:val="false"/>
          <w:color w:val="1F2937"/>
          <w:sz w:val="22"/>
          <w:szCs w:val="22"/>
        </w:rPr>
        <w:t xml:space="preserve"> : distinguer corps célestes réels, points calculés et points imaginaires. Une leçon décisive sur le statut des objets manipulés dans les thèmes — Lilith oscille entre au moins trois définitions distinctes selon les auteurs et les logiciels, et seule l'une d'elles désigne un corps réel (la Lune noire oscilante est un point orbital calculé, pas un astre). Nous verrons aussi les astéroïdes féminins (Cérès, Pallas, Junon, Vesta) et les questions que leur rapide intégration dans le corpus pose sur les critères de sélection des objets.</w:t>
      </w:r>
    </w:p>
    <w:p>
      <w:pPr>
        <w:spacing w:before="240" w:after="60"/>
      </w:pPr>
      <w:r>
        <w:rPr>
          <w:b/>
          <w:bCs/>
          <w:sz w:val="26"/>
        </w:rPr>
        <w:t xml:space="preserve">📝 Journal des corrections</w:t>
      </w:r>
    </w:p>
    <w:p>
      <w:pPr>
        <w:spacing w:before="60" w:after="60"/>
      </w:pPr>
      <w:r>
        <w:rPr>
          <w:sz w:val="20"/>
        </w:rPr>
        <w:t xml:space="preserve">Quatorze corrections apportées le 01/10/2026 sur quatorze paragraphes, après relecture complète du document et réouverture des dix sources avec un agent de navigateur. Chaque correction porte dans le corps du texte un marqueur daté en gris qui dit ce qui a été changé et pourquoi. La formulation d'origine est conservée ici, à l'identique. ⚠️ La correction n°11 a d'abord été portée à tort : elle accusait « contemporary classic » d'être une citation fabriquée, alors que la notice l'écrit en capitales. Vérification refaite sans tenir compte de la casse, accusation retirée le même jour — et c'est un test mécanique écrit dans l'heure qui a montré l'erreur, pas une relecture.</w:t>
      </w:r>
    </w:p>
    <w:p>
      <w:pPr>
        <w:spacing w:before="60" w:after="60"/>
      </w:pPr>
      <w:r>
        <w:rPr>
          <w:sz w:val="20"/>
        </w:rPr>
        <w:t xml:space="preserve">1. (¶24) « paramètre PER= 50.40983 dans les éléments osculateurs à l'époque J2000 »</w:t>
      </w:r>
    </w:p>
    <w:p>
      <w:pPr>
        <w:spacing w:before="60" w:after="60"/>
      </w:pPr>
      <w:r>
        <w:rPr>
          <w:sz w:val="20"/>
        </w:rPr>
        <w:t xml:space="preserve">2. (¶93) « HTTP 200 (via API) […] éléments osculateurs J2000 », sans aucune adresse portant les deux valeurs</w:t>
      </w:r>
    </w:p>
    <w:p>
      <w:pPr>
        <w:spacing w:before="60" w:after="60"/>
      </w:pPr>
      <w:r>
        <w:rPr>
          <w:sz w:val="20"/>
        </w:rPr>
        <w:t xml:space="preserve">3. (¶29) « Chiron a été observé développant une coma (halo gazeux) lors de son approche du périhélie […]. Le MPC le liste donc à la fois dans sa base des astéroïdes/planètes mineures (2060) et dans sa liste des comètes périodiques (95P). Ce double statut est lui-même source d'interrogation scientifique : les centaures sont considérés comme une population transitoire, probablement issue de la ceinture de Kuiper, pouvant évoluer vers des comètes à courte période. »</w:t>
      </w:r>
    </w:p>
    <w:p>
      <w:pPr>
        <w:spacing w:before="60" w:after="60"/>
      </w:pPr>
      <w:r>
        <w:rPr>
          <w:sz w:val="20"/>
        </w:rPr>
        <w:t xml:space="preserve">4. (¶70) « Chiron est classifié centaure par le MPC/UAI — corps orbitant dans la zone entre Jupiter et Neptune, dont l'orbite est dynamiquement instable sur des échelles de millions d'années. Il a développé une coma […]. Source : MPC/UAI — Liste des centaures. »</w:t>
      </w:r>
    </w:p>
    <w:p>
      <w:pPr>
        <w:spacing w:before="60" w:after="60"/>
      </w:pPr>
      <w:r>
        <w:rPr>
          <w:sz w:val="20"/>
        </w:rPr>
        <w:t xml:space="preserve">5. (¶72) « Classification centaure : établi (MPC/UAI). Double nature rocher-comète : établi (MPC/UAI). »</w:t>
      </w:r>
    </w:p>
    <w:p>
      <w:pPr>
        <w:spacing w:before="60" w:after="60"/>
      </w:pPr>
      <w:r>
        <w:rPr>
          <w:sz w:val="20"/>
        </w:rPr>
        <w:t xml:space="preserve">6. (¶35) « qui ne sera formellement classé « centaure » par le MPC que dans les années 1990 »</w:t>
      </w:r>
    </w:p>
    <w:p>
      <w:pPr>
        <w:spacing w:before="60" w:after="60"/>
      </w:pPr>
      <w:r>
        <w:rPr>
          <w:sz w:val="20"/>
        </w:rPr>
        <w:t xml:space="preserve">7. (¶40) « proposé et officialisé par le MPC, qui retient les noms mythologiques pour les astéroïdes »</w:t>
      </w:r>
    </w:p>
    <w:p>
      <w:pPr>
        <w:spacing w:before="60" w:after="60"/>
      </w:pPr>
      <w:r>
        <w:rPr>
          <w:sz w:val="20"/>
        </w:rPr>
        <w:t xml:space="preserve">8. (¶49) « Les transits sur Chiron natal « serve as time triggers » »</w:t>
      </w:r>
    </w:p>
    <w:p>
      <w:pPr>
        <w:spacing w:before="60" w:after="60"/>
      </w:pPr>
      <w:r>
        <w:rPr>
          <w:sz w:val="20"/>
        </w:rPr>
        <w:t xml:space="preserve">9. (¶33) « l'appropriation du corps par la communauté astrologique a été immédiate »</w:t>
      </w:r>
    </w:p>
    <w:p>
      <w:pPr>
        <w:spacing w:before="60" w:after="60"/>
      </w:pPr>
      <w:r>
        <w:rPr>
          <w:sz w:val="20"/>
        </w:rPr>
        <w:t xml:space="preserve">10. (¶56) « Chiron: Rainbow Bridge Between the Inner and Outer Planets »</w:t>
      </w:r>
    </w:p>
    <w:p>
      <w:pPr>
        <w:spacing w:before="60" w:after="60"/>
      </w:pPr>
      <w:r>
        <w:rPr>
          <w:sz w:val="20"/>
        </w:rPr>
        <w:t xml:space="preserve">11. (¶57) « Arkana, 1989 ; éd. révisée Starwalker Press, 2010 […]. La notice de la 3e édition (2010) qualifie l'ouvrage de « contemporary classic » et décrit un travail de fond sur Chiron comme planète mineure. » — formulation JUSTE sur la citation : seule l'année 1999 manquait</w:t>
      </w:r>
    </w:p>
    <w:p>
      <w:pPr>
        <w:spacing w:before="60" w:after="60"/>
      </w:pPr>
      <w:r>
        <w:rPr>
          <w:sz w:val="20"/>
        </w:rPr>
        <w:t xml:space="preserve">12. (¶58) « auteur de Chiron: Healer and Wholemaker »</w:t>
      </w:r>
    </w:p>
    <w:p>
      <w:pPr>
        <w:spacing w:before="60" w:after="60"/>
      </w:pPr>
      <w:r>
        <w:rPr>
          <w:sz w:val="20"/>
        </w:rPr>
        <w:t xml:space="preserve">13. (¶75) « Ouvrir Astro.com — Extended Chart Selection (HTTP 200, vérifié le 01/10/2026). […] Dans « Chart type » choisir « Extended Chart Selection ». Dans la liste des astéroïdes supplémentaires, cocher « Chiron ». »</w:t>
      </w:r>
    </w:p>
    <w:p>
      <w:pPr>
        <w:spacing w:before="60" w:after="60"/>
      </w:pPr>
      <w:r>
        <w:rPr>
          <w:sz w:val="20"/>
        </w:rPr>
        <w:t xml:space="preserve">14. (¶97) « Outil de référence pour l'exercice pratique.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lwbnairs0ym8j0hlprkq" Type="http://schemas.openxmlformats.org/officeDocument/2006/relationships/hyperlink" Target="https://www.minorplanetcenter.net/db_search/show_object?object_id=2060" TargetMode="External"/><Relationship Id="rIdfmgkkgu_htd80k70snl_e" Type="http://schemas.openxmlformats.org/officeDocument/2006/relationships/hyperlink" Target="https://www.minorplanetcenter.net/iau/lists/t_centaurs.html" TargetMode="External"/><Relationship Id="rIdmmlzphy9imqxm4v6ebsyr" Type="http://schemas.openxmlformats.org/officeDocument/2006/relationships/hyperlink" Target="https://www.zanestein.com/chiron.htm" TargetMode="External"/><Relationship Id="rId5uutobe_j2qj0cizq5uxp" Type="http://schemas.openxmlformats.org/officeDocument/2006/relationships/hyperlink" Target="https://cafeastrology.com/chiron.html" TargetMode="External"/><Relationship Id="rIdos_nq4yfw3s2ecucvkfqz" Type="http://schemas.openxmlformats.org/officeDocument/2006/relationships/hyperlink" Target="https://www.abebooks.com/9780875420943/Chiron-Rainbow-Bridge-Outer-Planets-087542094X/plp" TargetMode="External"/><Relationship Id="rIdjvas5a0mee0plmprux9qg" Type="http://schemas.openxmlformats.org/officeDocument/2006/relationships/hyperlink" Target="https://www.abebooks.co.uk/9780955823114/Chiron-Healing-Journey-Reinhart-Melanie/plp" TargetMode="External"/><Relationship Id="rId9llelex0fgm7l_pmbjjat" Type="http://schemas.openxmlformats.org/officeDocument/2006/relationships/hyperlink" Target="https://www.zanestein.com/chiron.htm" TargetMode="External"/><Relationship Id="rIdjhu57nllvt4we4hx_vuy3" Type="http://schemas.openxmlformats.org/officeDocument/2006/relationships/hyperlink" Target="https://www.minorplanetcenter.net/db_search/show_object?object_id=2060" TargetMode="External"/><Relationship Id="rIdu9atemxsdi9engvdw3q63" Type="http://schemas.openxmlformats.org/officeDocument/2006/relationships/hyperlink" Target="https://www.minorplanetcenter.net/iau/lists/t_centaurs.html" TargetMode="External"/><Relationship Id="rIdxmpzqzlqgutrkbkddkqqt" Type="http://schemas.openxmlformats.org/officeDocument/2006/relationships/hyperlink" Target="https://www.astro.com/cgi/chart.cgi" TargetMode="External"/><Relationship Id="rIdds6emgx3egz8-ebmovhgy" Type="http://schemas.openxmlformats.org/officeDocument/2006/relationships/hyperlink" Target="https://doi.org/10.1038/318419a0" TargetMode="External"/><Relationship Id="rIdhrs8py4rf0apvbipdtbxh" Type="http://schemas.openxmlformats.org/officeDocument/2006/relationships/hyperlink" Target="https://journalpsyche.org/articles/0xc062.pdf" TargetMode="External"/><Relationship Id="rIdgdkaff5puwqaerqr8udt1" Type="http://schemas.openxmlformats.org/officeDocument/2006/relationships/hyperlink" Target="https://www.minorplanetcenter.net/db_search/show_object?object_id=2060" TargetMode="External"/><Relationship Id="rIdarx2fi-7updc_h3umbxco" Type="http://schemas.openxmlformats.org/officeDocument/2006/relationships/hyperlink" Target="https://www.minorplanetcenter.net/iau/lists/t_centaurs.html" TargetMode="External"/><Relationship Id="rIdvmgmlxrybkd3f9m7-pdse" Type="http://schemas.openxmlformats.org/officeDocument/2006/relationships/hyperlink" Target="https://www.zanestein.com/chiron.htm" TargetMode="External"/><Relationship Id="rId16havuuct9erkfgggwt95" Type="http://schemas.openxmlformats.org/officeDocument/2006/relationships/hyperlink" Target="https://cafeastrology.com/chiron.html" TargetMode="External"/><Relationship Id="rIdmhcvjsckxhd2l4ezhw8x8" Type="http://schemas.openxmlformats.org/officeDocument/2006/relationships/hyperlink" Target="https://www.astro.com/cgi/chart.cgi" TargetMode="External"/><Relationship Id="rIde_31yfglqi1qpko5vhrj0" Type="http://schemas.openxmlformats.org/officeDocument/2006/relationships/hyperlink" Target="https://www.abebooks.com/9780875420943/Chiron-Rainbow-Bridge-Outer-Planets-087542094X/plp" TargetMode="External"/><Relationship Id="rIdsp9hza5qcvxygqrvb7f7x" Type="http://schemas.openxmlformats.org/officeDocument/2006/relationships/hyperlink" Target="https://www.abebooks.co.uk/9780955823114/Chiron-Healing-Journey-Reinhart-Melanie/plp" TargetMode="External"/><Relationship Id="rIdva6yyekfkq1avb9pcc0tz" Type="http://schemas.openxmlformats.org/officeDocument/2006/relationships/hyperlink" Target="https://doi.org/10.1038/318419a0" TargetMode="External"/><Relationship Id="rId0pnw6xetgnddpyc-oy0nc" Type="http://schemas.openxmlformats.org/officeDocument/2006/relationships/hyperlink" Target="https://journalpsyche.org/articles/0xc062.pdf" TargetMode="External"/><Relationship Id="rId30" Type="http://schemas.openxmlformats.org/officeDocument/2006/relationships/fontTable" Target="fontTable.xml"/><Relationship Id="rIdwgsbniau2026" Type="http://schemas.openxmlformats.org/officeDocument/2006/relationships/hyperlink" Target="https://www.wgsbn-iau.org/" TargetMode="External"/><Relationship Id="rIdastrogenchart2026" Type="http://schemas.openxmlformats.org/officeDocument/2006/relationships/hyperlink" Target="https://www.astro.com/cgi/genchart.cgi"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09 — Chiron : corps réel, blessure symbolique</dc:title>
  <dc:creator>Astrologie karmique — Parcours hebdomadaire</dc:creator>
  <cp:lastModifiedBy>Un-named</cp:lastModifiedBy>
  <cp:revision>1</cp:revision>
  <dcterms:created xsi:type="dcterms:W3CDTF">2026-10-01T07:49:12.730Z</dcterms:created>
  <dcterms:modified xsi:type="dcterms:W3CDTF">2026-10-01T07:49:12.733Z</dcterms:modified>
</cp:coreProperties>
</file>

<file path=docProps/custom.xml><?xml version="1.0" encoding="utf-8"?>
<Properties xmlns="http://schemas.openxmlformats.org/officeDocument/2006/custom-properties" xmlns:vt="http://schemas.openxmlformats.org/officeDocument/2006/docPropsVTypes"/>
</file>