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00"/>
        <w:jc w:val="center"/>
      </w:pPr>
      <w:r>
        <w:rPr>
          <w:rFonts w:ascii="Times New Roman" w:cs="Times New Roman" w:eastAsia="Times New Roman" w:hAnsi="Times New Roman"/>
          <w:b/>
          <w:bCs/>
          <w:color w:val="1B3A6B"/>
          <w:sz w:val="52"/>
          <w:szCs w:val="52"/>
        </w:rPr>
        <w:t xml:space="preserve">Leçon Psychopathologie clinique n°04</w:t>
      </w:r>
    </w:p>
    <w:p>
      <w:pPr>
        <w:spacing w:after="100" w:before="0"/>
        <w:jc w:val="center"/>
      </w:pPr>
      <w:r>
        <w:rPr>
          <w:rFonts w:ascii="Times New Roman" w:cs="Times New Roman" w:eastAsia="Times New Roman" w:hAnsi="Times New Roman"/>
          <w:b/>
          <w:bCs/>
          <w:color w:val="1B3A6B"/>
          <w:sz w:val="36"/>
          <w:szCs w:val="36"/>
        </w:rPr>
        <w:t xml:space="preserve">L'entretien clinique et l'examen de l'état mental</w:t>
      </w:r>
    </w:p>
    <w:p>
      <w:pPr>
        <w:spacing w:after="60" w:before="60"/>
        <w:jc w:val="center"/>
      </w:pPr>
      <w:r>
        <w:rPr>
          <w:rFonts w:ascii="Times New Roman" w:cs="Times New Roman" w:eastAsia="Times New Roman" w:hAnsi="Times New Roman"/>
          <w:i/>
          <w:iCs/>
          <w:color w:val="1F2937"/>
          <w:sz w:val="18"/>
          <w:szCs w:val="18"/>
        </w:rPr>
        <w:t xml:space="preserve">Date : 6 juillet 2026  ·  Module Fondamental — Leçon 04 / 16  ·  Parcours Psychopathologie clinique</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color w:val="1F2937"/>
          <w:sz w:val="22"/>
          <w:szCs w:val="22"/>
        </w:rPr>
        <w:t xml:space="preserve">À l'issue de cette leçon, tu sauras conduire mentalement un examen de l'état mental structuré, identifier ses 12 domaines, distinguer humeur et affect, et comprendre en quoi l'alliance thérapeutique conditionne la qualité des informations recueillies.</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Continuité : la leçon 03 t'a appris à nommer les signes (sémiologie). Cette leçon t'apprend maintenant à les RECUEILLIR méthodiquement, dans le cadre structuré de l'entretien clinique — le passage de la reconnaissance à l'évaluation.</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Théorie — 20%</w:t>
      </w:r>
    </w:p>
    <w:p>
      <w:pPr>
        <w:pStyle w:val="Heading3"/>
        <w:spacing w:after="100" w:before="200"/>
      </w:pPr>
      <w:r>
        <w:rPr>
          <w:rFonts w:ascii="Times New Roman" w:cs="Times New Roman" w:eastAsia="Times New Roman" w:hAnsi="Times New Roman"/>
          <w:b/>
          <w:bCs/>
          <w:color w:val="1F2937"/>
          <w:sz w:val="26"/>
          <w:szCs w:val="26"/>
        </w:rPr>
        <w:t xml:space="preserve">1. Qu'est-ce que l'entretien clinique ?</w:t>
      </w:r>
    </w:p>
    <w:p>
      <w:pPr>
        <w:spacing w:after="80" w:before="80"/>
      </w:pPr>
      <w:r>
        <w:rPr>
          <w:rFonts w:ascii="Times New Roman" w:cs="Times New Roman" w:eastAsia="Times New Roman" w:hAnsi="Times New Roman"/>
          <w:color w:val="1F2937"/>
          <w:sz w:val="22"/>
          <w:szCs w:val="22"/>
        </w:rPr>
        <w:t xml:space="preserve">L'entretien clinique est la rencontre structurée entre un clinicien et un patient, visant à recueillir des informations sur la souffrance psychique, les antécédents, le contexte de vie et le fonctionnement actuel. C'est à la fois un outil de recueil (anamnèse, histoire de la maladie) et un espace de soin (alliance, contenance).</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b/>
          <w:bCs/>
          <w:color w:val="1F2937"/>
          <w:sz w:val="22"/>
          <w:szCs w:val="22"/>
        </w:rPr>
        <w:t xml:space="preserve">Structure classique de l'entretien psychiatrique initial (Merck Manual / DSM-5)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Motif de consultation et histoire de la maladie actuelle (symptômes, déclencheurs, évolution)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Antécédents psychiatriques personnels (épisodes passés, hospitalisations, traitements)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Antécédents médicaux et traitements en cours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Antécédents familiaux psychiatriques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Histoire personnelle et développementale (scolarité, relations, travail, sexualité)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Évaluation du risque suicidaire et hétéro-agressif</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Consommations de substances (alcool, tabac, drogues, médicaments)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Examen de l'état mental (MSE) — cf. section suivante</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 L'entretien psychiatrique est à la psychiatrie ce que l'examen physique est à la médecine somatique : il fournit les données objectives à partir desquelles le clinicien raisonne. » — StatPearls, NCBI 2024</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2. L'alliance thérapeutique : condition sine qua non</w:t>
      </w:r>
    </w:p>
    <w:p>
      <w:pPr>
        <w:spacing w:after="80" w:before="80"/>
      </w:pPr>
      <w:r>
        <w:rPr>
          <w:rFonts w:ascii="Times New Roman" w:cs="Times New Roman" w:eastAsia="Times New Roman" w:hAnsi="Times New Roman"/>
          <w:color w:val="1F2937"/>
          <w:sz w:val="22"/>
          <w:szCs w:val="22"/>
        </w:rPr>
        <w:t xml:space="preserve">L'alliance thérapeutique désigne la qualité du lien de collaboration entre le clinicien et le patient. Elle repose sur trois dimensions (modèle de Bordin, 1979)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L'accord sur les objectifs :</w:t>
      </w:r>
      <w:r>
        <w:rPr>
          <w:rFonts w:ascii="Times New Roman" w:cs="Times New Roman" w:eastAsia="Times New Roman" w:hAnsi="Times New Roman"/>
          <w:color w:val="1F2937"/>
          <w:sz w:val="22"/>
          <w:szCs w:val="22"/>
        </w:rPr>
        <w:t xml:space="preserve"> patient et clinicien partagent la même compréhension de ce que l'on cherche à accomplir.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L'accord sur les tâches :</w:t>
      </w:r>
      <w:r>
        <w:rPr>
          <w:rFonts w:ascii="Times New Roman" w:cs="Times New Roman" w:eastAsia="Times New Roman" w:hAnsi="Times New Roman"/>
          <w:color w:val="1F2937"/>
          <w:sz w:val="22"/>
          <w:szCs w:val="22"/>
        </w:rPr>
        <w:t xml:space="preserve"> les activités et méthodes de l'entretien sont acceptées mutuellement.</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Le lien :</w:t>
      </w:r>
      <w:r>
        <w:rPr>
          <w:rFonts w:ascii="Times New Roman" w:cs="Times New Roman" w:eastAsia="Times New Roman" w:hAnsi="Times New Roman"/>
          <w:color w:val="1F2937"/>
          <w:sz w:val="22"/>
          <w:szCs w:val="22"/>
        </w:rPr>
        <w:t xml:space="preserve"> qualité de la relation humaine, confiance, respect, chaleur.</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L'alliance se construit dès les premières minutes : posture ouverte, écoute active, reflets empathiques, validation de l'expérience du patient. Elle est prédictive de la qualité des informations obtenues et des résultats thérapeutiques (méta-analyses multiples).</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3. L'examen de l'état mental (MSE — Mental Status Examination)</w:t>
      </w:r>
    </w:p>
    <w:p>
      <w:pPr>
        <w:spacing w:after="80" w:before="80"/>
      </w:pPr>
      <w:r>
        <w:rPr>
          <w:rFonts w:ascii="Times New Roman" w:cs="Times New Roman" w:eastAsia="Times New Roman" w:hAnsi="Times New Roman"/>
          <w:color w:val="1F2937"/>
          <w:sz w:val="22"/>
          <w:szCs w:val="22"/>
        </w:rPr>
        <w:t xml:space="preserve">Le MSE est l'évaluation systématique et observationnelle du fonctionnement psychique au moment de la rencontre. Il ne repose pas uniquement sur le récit du patient mais surtout sur l'observation directe du clinicien. Il couvre 12 domaines :</w:t>
      </w:r>
    </w:p>
    <w:p>
      <w:pPr>
        <w:spacing w:after="80" w:before="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1B3A6B" w:val="clear"/>
          </w:tcPr>
          <w:p>
            <w:pPr>
              <w:spacing w:after="60" w:before="60"/>
            </w:pPr>
            <w:r>
              <w:rPr>
                <w:rFonts w:ascii="Times New Roman" w:cs="Times New Roman" w:eastAsia="Times New Roman" w:hAnsi="Times New Roman"/>
                <w:b/>
                <w:bCs/>
                <w:color w:val="FFFFFF"/>
                <w:sz w:val="18"/>
                <w:szCs w:val="18"/>
              </w:rPr>
              <w:t xml:space="preserve">Domaine</w:t>
            </w:r>
          </w:p>
        </w:tc>
        <w:tc>
          <w:tcPr>
            <w:tcW w:type="pct" w:w="45%"/>
            <w:shd w:fill="1B3A6B" w:val="clear"/>
          </w:tcPr>
          <w:p>
            <w:pPr>
              <w:spacing w:after="60" w:before="60"/>
            </w:pPr>
            <w:r>
              <w:rPr>
                <w:rFonts w:ascii="Times New Roman" w:cs="Times New Roman" w:eastAsia="Times New Roman" w:hAnsi="Times New Roman"/>
                <w:b/>
                <w:bCs/>
                <w:color w:val="FFFFFF"/>
                <w:sz w:val="18"/>
                <w:szCs w:val="18"/>
              </w:rPr>
              <w:t xml:space="preserve">Ce qu'on observe</w:t>
            </w:r>
          </w:p>
        </w:tc>
        <w:tc>
          <w:tcPr>
            <w:tcW w:type="pct" w:w="35%"/>
            <w:shd w:fill="1B3A6B" w:val="clear"/>
          </w:tcPr>
          <w:p>
            <w:pPr>
              <w:spacing w:after="60" w:before="60"/>
            </w:pPr>
            <w:r>
              <w:rPr>
                <w:rFonts w:ascii="Times New Roman" w:cs="Times New Roman" w:eastAsia="Times New Roman" w:hAnsi="Times New Roman"/>
                <w:b/>
                <w:bCs/>
                <w:color w:val="FFFFFF"/>
                <w:sz w:val="18"/>
                <w:szCs w:val="18"/>
              </w:rPr>
              <w:t xml:space="preserve">Termes clés</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Apparence &amp; tenue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Hygiène, habillement, signes de négligence, expressions faciales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Soigné / négligé / bizarre</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Comportement &amp; attitude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Coopération, agitation, lenteur psychomotrice, tics, contact visuel</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Agité / ralenti / coopérant</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Discours / langage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Débit, volume, rythme, spontanéité, cohérence articulatoire</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Logorrhéique / mutique / dysarthrique</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Humeur (mood)</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Ce que le patient exprime verbalement de son état émotionnel (citation directe)</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Déprimé / anxieux / euphorique</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Affect</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Ce que le clinicien observe : expression émotionnelle, adéquation humeur/discours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Émoussé / inadapté / labile</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Cours de la pensée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Organisation : linéaire, circonstancielle, tangentielle, fuite des idées, coq-à-l'âne</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Circonstanciel / tangentiel / incohérent</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Contenu de la pensée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Idées suicidaires/homicidaires, délires, obsessions, phobies, préoccupations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Idées délirantes / TOC / idées noires</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Perceptions</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Hallucinations (auditives, visuelles, tactiles…), illusions, déréalisation/dépersonnalisation</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Hallucination / illusion / déréalisation</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Cognition</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Vigilance, orientation T/L/P, attention, mémoire immédiate et différée, abstraction</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Orienté / désorienté / confus</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Insight (conscience du trouble)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Reconnaissance de la maladie, adhésion au soin, capacité à re-labelliser les vécus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Insight présent / partiel / absent</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Jugement</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Capacité décisionnelle, raisonnement, évaluation des conséquences de ses actes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Préservé / altéré</w:t>
            </w:r>
          </w:p>
        </w:tc>
      </w:tr>
    </w:tbl>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Note déontologique : le MSE est un outil clinique réservé aux professionnels de santé (médecins psychiatres, psychologues cliniciens). En tant que cadre éducatif, l'objectif est de COMPRENDRE ce langage clinique pour mieux échanger avec l'équipe soignante et mieux observer le comportement des personnes accompagnées — en aucun cas de poser un diagnostic.</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4. Cadres de référence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CIM-11 (OMS, 2022) :</w:t>
      </w:r>
      <w:r>
        <w:rPr>
          <w:rFonts w:ascii="Times New Roman" w:cs="Times New Roman" w:eastAsia="Times New Roman" w:hAnsi="Times New Roman"/>
          <w:color w:val="1F2937"/>
          <w:sz w:val="22"/>
          <w:szCs w:val="22"/>
        </w:rPr>
        <w:t xml:space="preserve"> la classification internationale des maladies. L'entretien vise à collecter les données nécessaires au codage nosologique.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DSM-5-TR (APA, 2022) :</w:t>
      </w:r>
      <w:r>
        <w:rPr>
          <w:rFonts w:ascii="Times New Roman" w:cs="Times New Roman" w:eastAsia="Times New Roman" w:hAnsi="Times New Roman"/>
          <w:color w:val="1F2937"/>
          <w:sz w:val="22"/>
          <w:szCs w:val="22"/>
        </w:rPr>
        <w:t xml:space="preserve"> le manuel américain diagnostique. Il propose des critères opérationnels précis (nombre de symptômes, durée, retentissement fonctionnel).</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Modèle phénoménologique :</w:t>
      </w:r>
      <w:r>
        <w:rPr>
          <w:rFonts w:ascii="Times New Roman" w:cs="Times New Roman" w:eastAsia="Times New Roman" w:hAnsi="Times New Roman"/>
          <w:color w:val="1F2937"/>
          <w:sz w:val="22"/>
          <w:szCs w:val="22"/>
        </w:rPr>
        <w:t xml:space="preserve"> accent sur le vécu subjectif (Erlebnis), l'expérience incarnée, la présence du clinicien comme instrument d'observation. Auteurs clés : Jaspers, Minkowski, Binswanger.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Modèle biopsychosocial :</w:t>
      </w:r>
      <w:r>
        <w:rPr>
          <w:rFonts w:ascii="Times New Roman" w:cs="Times New Roman" w:eastAsia="Times New Roman" w:hAnsi="Times New Roman"/>
          <w:color w:val="1F2937"/>
          <w:sz w:val="22"/>
          <w:szCs w:val="22"/>
        </w:rPr>
        <w:t xml:space="preserve"> intègre facteurs biologiques, psychologiques et sociaux dans l'évaluation.</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Pratique — 80%</w:t>
      </w:r>
    </w:p>
    <w:p>
      <w:pPr>
        <w:pStyle w:val="Heading3"/>
        <w:spacing w:after="100" w:before="200"/>
      </w:pPr>
      <w:r>
        <w:rPr>
          <w:rFonts w:ascii="Times New Roman" w:cs="Times New Roman" w:eastAsia="Times New Roman" w:hAnsi="Times New Roman"/>
          <w:b/>
          <w:bCs/>
          <w:color w:val="1F2937"/>
          <w:sz w:val="26"/>
          <w:szCs w:val="26"/>
        </w:rPr>
        <w:t xml:space="preserve">Exercice 1 — Décodage sémiologique d'une vignette clinique</w:t>
      </w:r>
    </w:p>
    <w:p>
      <w:pPr>
        <w:spacing w:after="80" w:before="80"/>
      </w:pPr>
      <w:r>
        <w:rPr>
          <w:rFonts w:ascii="Times New Roman" w:cs="Times New Roman" w:eastAsia="Times New Roman" w:hAnsi="Times New Roman"/>
          <w:color w:val="1F2937"/>
          <w:sz w:val="22"/>
          <w:szCs w:val="22"/>
        </w:rPr>
        <w:t xml:space="preserve">Lis attentivement cette vignette clinique et identifie les éléments de l'examen de l'état mental pour chaque domaine concerné.</w:t>
      </w:r>
    </w:p>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Ahmed, 34 ans, est amené aux urgences psychiatriques par sa sœur. Il est habillé de plusieurs couches de vêtements malgré la chaleur, les cheveux emmêlés. Il parle très vite, en passant d'un sujet à l'autre sans transition (la météo, un complot gouvernemental, son ex-femme, Dieu). Il dit se sentir « au sommet » et plein d'énergie depuis 5 jours sans dormir. Il affirme entendre la voix de Dieu lui donner des instructions. Interrogé sur son état, il répond : « Je ne suis pas malade, je suis en train d'accomplir une mission. »</w:t>
      </w:r>
    </w:p>
    <w:p>
      <w:pPr>
        <w:spacing w:after="80" w:before="80"/>
      </w:pPr>
      <w:r>
        <w:rPr>
          <w:rFonts w:ascii="Times New Roman" w:cs="Times New Roman" w:eastAsia="Times New Roman" w:hAnsi="Times New Roman"/>
          <w:color w:val="1F2937"/>
          <w:sz w:val="22"/>
          <w:szCs w:val="22"/>
        </w:rPr>
        <w:t xml:space="preserve"/>
      </w:r>
    </w:p>
    <w:p>
      <w:pPr>
        <w:spacing w:after="80" w:before="140"/>
      </w:pPr>
      <w:r>
        <w:rPr>
          <w:rFonts w:ascii="Times New Roman" w:cs="Times New Roman" w:eastAsia="Times New Roman" w:hAnsi="Times New Roman"/>
          <w:b/>
          <w:bCs/>
          <w:color w:val="1B3A6B"/>
          <w:sz w:val="24"/>
          <w:szCs w:val="24"/>
          <w:u w:val="single"/>
        </w:rPr>
        <w:t xml:space="preserve">Travail demandé :</w:t>
      </w:r>
    </w:p>
    <w:p>
      <w:pPr>
        <w:spacing w:after="80" w:before="80"/>
      </w:pPr>
      <w:r>
        <w:rPr>
          <w:rFonts w:ascii="Times New Roman" w:cs="Times New Roman" w:eastAsia="Times New Roman" w:hAnsi="Times New Roman"/>
          <w:color w:val="1F2937"/>
          <w:sz w:val="22"/>
          <w:szCs w:val="22"/>
        </w:rPr>
        <w:t xml:space="preserve">1. Remplis mentalement la grille MSE pour Ahmed (apparence, comportement, discours, humeur, affect, cours de pensée, contenu de pensée, perceptions, cognition, insight, jugement).</w:t>
      </w:r>
    </w:p>
    <w:p>
      <w:pPr>
        <w:spacing w:after="80" w:before="80"/>
      </w:pPr>
      <w:r>
        <w:rPr>
          <w:rFonts w:ascii="Times New Roman" w:cs="Times New Roman" w:eastAsia="Times New Roman" w:hAnsi="Times New Roman"/>
          <w:color w:val="1F2937"/>
          <w:sz w:val="22"/>
          <w:szCs w:val="22"/>
        </w:rPr>
        <w:t xml:space="preserve">2. Identifie 4 signes sémiologiques précis et nomme-les avec le terme technique correct (revoir leçon 03 si nécessaire).</w:t>
      </w:r>
    </w:p>
    <w:p>
      <w:pPr>
        <w:spacing w:after="80" w:before="80"/>
      </w:pPr>
      <w:r>
        <w:rPr>
          <w:rFonts w:ascii="Times New Roman" w:cs="Times New Roman" w:eastAsia="Times New Roman" w:hAnsi="Times New Roman"/>
          <w:color w:val="1F2937"/>
          <w:sz w:val="22"/>
          <w:szCs w:val="22"/>
        </w:rPr>
        <w:t xml:space="preserve">3. Quels domaines du MSE sont les plus altérés ici ? Quel trouble clinique cela évoque-t-il (sans diagnostic posé) ?</w:t>
      </w:r>
    </w:p>
    <w:p>
      <w:pPr>
        <w:spacing w:after="80" w:before="80"/>
      </w:pPr>
      <w:r>
        <w:rPr>
          <w:rFonts w:ascii="Times New Roman" w:cs="Times New Roman" w:eastAsia="Times New Roman" w:hAnsi="Times New Roman"/>
          <w:color w:val="1F2937"/>
          <w:sz w:val="22"/>
          <w:szCs w:val="22"/>
        </w:rPr>
        <w:t xml:space="preserve">4. Quel défi particulier poserait l'établissement d'une alliance thérapeutique avec Ahmed ? Quelles attitudes cliniques seraient contre-productives ?</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Corrigé orienté : Apparence = négligée ; Discours = logorrhéique, tachyphémique ; Cours pensée = fuite des idées, tangentiel ; Contenu = idées de grandiosité, mission divine ; Perceptions = hallucinations auditives ; Insight = absent ; Jugement = altéré. Tableau évocateur d'épisode maniaque avec caractéristiques psychotiques (CIM-11 : 6A60.2).</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Exercice 2 — Construction d'une grille d'observation MSE pour l'ESSMS</w:t>
      </w:r>
    </w:p>
    <w:p>
      <w:pPr>
        <w:spacing w:after="80" w:before="80"/>
      </w:pPr>
      <w:r>
        <w:rPr>
          <w:rFonts w:ascii="Times New Roman" w:cs="Times New Roman" w:eastAsia="Times New Roman" w:hAnsi="Times New Roman"/>
          <w:color w:val="1F2937"/>
          <w:sz w:val="22"/>
          <w:szCs w:val="22"/>
        </w:rPr>
        <w:t xml:space="preserve">Tu vas adapter la grille MSE à un contexte non clinique : celui d'un éducateur spécialisé observant un résident au cours d'une activité ou d'un entretien informel.</w:t>
      </w:r>
    </w:p>
    <w:p>
      <w:pPr>
        <w:spacing w:after="80" w:before="80"/>
      </w:pPr>
      <w:r>
        <w:rPr>
          <w:rFonts w:ascii="Times New Roman" w:cs="Times New Roman" w:eastAsia="Times New Roman" w:hAnsi="Times New Roman"/>
          <w:color w:val="1F2937"/>
          <w:sz w:val="22"/>
          <w:szCs w:val="22"/>
        </w:rPr>
        <w:t xml:space="preserve"/>
      </w:r>
    </w:p>
    <w:p>
      <w:pPr>
        <w:spacing w:after="80" w:before="140"/>
      </w:pPr>
      <w:r>
        <w:rPr>
          <w:rFonts w:ascii="Times New Roman" w:cs="Times New Roman" w:eastAsia="Times New Roman" w:hAnsi="Times New Roman"/>
          <w:b/>
          <w:bCs/>
          <w:color w:val="1B3A6B"/>
          <w:sz w:val="24"/>
          <w:szCs w:val="24"/>
          <w:u w:val="single"/>
        </w:rPr>
        <w:t xml:space="preserve">Travail demandé :</w:t>
      </w:r>
    </w:p>
    <w:p>
      <w:pPr>
        <w:spacing w:after="80" w:before="80"/>
      </w:pPr>
      <w:r>
        <w:rPr>
          <w:rFonts w:ascii="Times New Roman" w:cs="Times New Roman" w:eastAsia="Times New Roman" w:hAnsi="Times New Roman"/>
          <w:color w:val="1F2937"/>
          <w:sz w:val="22"/>
          <w:szCs w:val="22"/>
        </w:rPr>
        <w:t xml:space="preserve">1. Prends les 12 domaines du MSE. Pour chacun, formule en 1 phrase ce qu'un éducateur (non clinicien) peut observer légitimement dans son contexte, sans prétention diagnostique.</w:t>
      </w:r>
    </w:p>
    <w:p>
      <w:pPr>
        <w:spacing w:after="80" w:before="80"/>
      </w:pPr>
      <w:r>
        <w:rPr>
          <w:rFonts w:ascii="Times New Roman" w:cs="Times New Roman" w:eastAsia="Times New Roman" w:hAnsi="Times New Roman"/>
          <w:color w:val="1F2937"/>
          <w:sz w:val="22"/>
          <w:szCs w:val="22"/>
        </w:rPr>
        <w:t xml:space="preserve">2. Identifie les 4 domaines qui te semblent les plus facilement observables par un professionnel du médico-social, et les 3 domaines qui nécessitent impérativement un regard clinique.</w:t>
      </w:r>
    </w:p>
    <w:p>
      <w:pPr>
        <w:spacing w:after="80" w:before="80"/>
      </w:pPr>
      <w:r>
        <w:rPr>
          <w:rFonts w:ascii="Times New Roman" w:cs="Times New Roman" w:eastAsia="Times New Roman" w:hAnsi="Times New Roman"/>
          <w:color w:val="1F2937"/>
          <w:sz w:val="22"/>
          <w:szCs w:val="22"/>
        </w:rPr>
        <w:t xml:space="preserve">3. Rédige une note d'observation de 5-7 lignes pour un résident fictif, en utilisant le vocabulaire observationnel (comportemental, factuel) — sans interprétation diagnostique. Exemple de formulation correcte : « Ce matin, M. X a tenu des propos décousus, passant rapidement de sa famille à des personnes inconnues, sans lien apparent. » vs incorrecte : « M. X présente une fuite des idées. »</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Objectif : te construire un registre de langage observable / clinique. Le premier appartient à l'éducateur, le second au clinicien.</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Exercice 3 — Analyse d'un entretien : facteurs favorisant / entravant l'alliance</w:t>
      </w:r>
    </w:p>
    <w:p>
      <w:pPr>
        <w:spacing w:after="80" w:before="80"/>
      </w:pPr>
      <w:r>
        <w:rPr>
          <w:rFonts w:ascii="Times New Roman" w:cs="Times New Roman" w:eastAsia="Times New Roman" w:hAnsi="Times New Roman"/>
          <w:color w:val="1F2937"/>
          <w:sz w:val="22"/>
          <w:szCs w:val="22"/>
        </w:rPr>
        <w:t xml:space="preserve">Lis ces deux extraits d'entretiens et compare-les selon les critères de l'alliance thérapeutique.</w:t>
      </w:r>
    </w:p>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Extrait A — Clinicien : « Donc, vous dormez combien d'heures ? Vous avez des idées noires ? Avez-vous déjà été hospitalisé ? » [Il note sans lever les yeux.] Patient : « Oui... non... je... » Clinicien : « Bien. Donc pas d'antécédents. Passons aux traitements. »</w:t>
      </w:r>
    </w:p>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Extrait B — Clinicien : [Pose son stylo, regarde le patient.] « Avant qu'on aborde votre parcours, j'aimerais comprendre ce qui vous a amené ici aujourd'hui — dans vos mots, à votre rythme. » Patient : « C'est difficile à expliquer... » Clinicien : « Prenez le temps qu'il vous faut. »</w:t>
      </w:r>
    </w:p>
    <w:p>
      <w:pPr>
        <w:spacing w:after="80" w:before="80"/>
      </w:pPr>
      <w:r>
        <w:rPr>
          <w:rFonts w:ascii="Times New Roman" w:cs="Times New Roman" w:eastAsia="Times New Roman" w:hAnsi="Times New Roman"/>
          <w:color w:val="1F2937"/>
          <w:sz w:val="22"/>
          <w:szCs w:val="22"/>
        </w:rPr>
        <w:t xml:space="preserve"/>
      </w:r>
    </w:p>
    <w:p>
      <w:pPr>
        <w:spacing w:after="80" w:before="140"/>
      </w:pPr>
      <w:r>
        <w:rPr>
          <w:rFonts w:ascii="Times New Roman" w:cs="Times New Roman" w:eastAsia="Times New Roman" w:hAnsi="Times New Roman"/>
          <w:b/>
          <w:bCs/>
          <w:color w:val="1B3A6B"/>
          <w:sz w:val="24"/>
          <w:szCs w:val="24"/>
          <w:u w:val="single"/>
        </w:rPr>
        <w:t xml:space="preserve">Travail demandé :</w:t>
      </w:r>
    </w:p>
    <w:p>
      <w:pPr>
        <w:spacing w:after="80" w:before="80"/>
      </w:pPr>
      <w:r>
        <w:rPr>
          <w:rFonts w:ascii="Times New Roman" w:cs="Times New Roman" w:eastAsia="Times New Roman" w:hAnsi="Times New Roman"/>
          <w:color w:val="1F2937"/>
          <w:sz w:val="22"/>
          <w:szCs w:val="22"/>
        </w:rPr>
        <w:t xml:space="preserve">1. Identifie dans chaque extrait les comportements verbaux et non verbaux qui favorisent ou entravent l'alliance thérapeutique.</w:t>
      </w:r>
    </w:p>
    <w:p>
      <w:pPr>
        <w:spacing w:after="80" w:before="80"/>
      </w:pPr>
      <w:r>
        <w:rPr>
          <w:rFonts w:ascii="Times New Roman" w:cs="Times New Roman" w:eastAsia="Times New Roman" w:hAnsi="Times New Roman"/>
          <w:color w:val="1F2937"/>
          <w:sz w:val="22"/>
          <w:szCs w:val="22"/>
        </w:rPr>
        <w:t xml:space="preserve">2. Applique les 3 dimensions de Bordin (accord objectifs / accord tâches / lien) à chaque extrait : lesquelles sont présentes ou absentes ?</w:t>
      </w:r>
    </w:p>
    <w:p>
      <w:pPr>
        <w:spacing w:after="80" w:before="80"/>
      </w:pPr>
      <w:r>
        <w:rPr>
          <w:rFonts w:ascii="Times New Roman" w:cs="Times New Roman" w:eastAsia="Times New Roman" w:hAnsi="Times New Roman"/>
          <w:color w:val="1F2937"/>
          <w:sz w:val="22"/>
          <w:szCs w:val="22"/>
        </w:rPr>
        <w:t xml:space="preserve">3. Transpose : dans ton propre contexte professionnel (entretien individuel avec un résident, réunion de famille, échange avec un collègue), quels comportements de l'Extrait A as-tu pu observer (ou produire) ? Que changerais-tu ?</w:t>
      </w:r>
    </w:p>
    <w:p>
      <w:pPr>
        <w:spacing w:after="80" w:before="80"/>
      </w:pPr>
      <w:r>
        <w:rPr>
          <w:rFonts w:ascii="Times New Roman" w:cs="Times New Roman" w:eastAsia="Times New Roman" w:hAnsi="Times New Roman"/>
          <w:color w:val="1F2937"/>
          <w:sz w:val="22"/>
          <w:szCs w:val="22"/>
        </w:rPr>
        <w:t xml:space="preserve">4. Rédige une courte charte personnelle (5 principes) d'alliance dans ta pratique de chef de service.</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Challenge — Synthèse intégrative</w:t>
      </w:r>
    </w:p>
    <w:p>
      <w:pPr>
        <w:spacing w:after="80" w:before="80"/>
      </w:pPr>
      <w:r>
        <w:rPr>
          <w:rFonts w:ascii="Times New Roman" w:cs="Times New Roman" w:eastAsia="Times New Roman" w:hAnsi="Times New Roman"/>
          <w:color w:val="1F2937"/>
          <w:sz w:val="22"/>
          <w:szCs w:val="22"/>
        </w:rPr>
        <w:t xml:space="preserve">Ce challenge mobilise les acquis des leçons 01, 02, 03 et 04.</w:t>
      </w:r>
    </w:p>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Situation : tu es cadre dans un foyer. Une éducatrice te contacte car un résident, Fabrice, 52 ans, se comporte différemment depuis 10 jours : il refuse de manger, parle très peu, reste prostré dans sa chambre, a déclaré « à quoi bon » lors d'une sortie. Elle ne sait pas comment transmettre l'information à l'équipe soignante.</w:t>
      </w:r>
    </w:p>
    <w:p>
      <w:pPr>
        <w:spacing w:after="80" w:before="80"/>
      </w:pPr>
      <w:r>
        <w:rPr>
          <w:rFonts w:ascii="Times New Roman" w:cs="Times New Roman" w:eastAsia="Times New Roman" w:hAnsi="Times New Roman"/>
          <w:color w:val="1F2937"/>
          <w:sz w:val="22"/>
          <w:szCs w:val="22"/>
        </w:rPr>
        <w:t xml:space="preserve"/>
      </w:r>
    </w:p>
    <w:p>
      <w:pPr>
        <w:spacing w:after="80" w:before="140"/>
      </w:pPr>
      <w:r>
        <w:rPr>
          <w:rFonts w:ascii="Times New Roman" w:cs="Times New Roman" w:eastAsia="Times New Roman" w:hAnsi="Times New Roman"/>
          <w:b/>
          <w:bCs/>
          <w:color w:val="1B3A6B"/>
          <w:sz w:val="24"/>
          <w:szCs w:val="24"/>
          <w:u w:val="single"/>
        </w:rPr>
        <w:t xml:space="preserve">Travail demandé :</w:t>
      </w:r>
    </w:p>
    <w:p>
      <w:pPr>
        <w:spacing w:after="80" w:before="80"/>
      </w:pPr>
      <w:r>
        <w:rPr>
          <w:rFonts w:ascii="Times New Roman" w:cs="Times New Roman" w:eastAsia="Times New Roman" w:hAnsi="Times New Roman"/>
          <w:color w:val="1F2937"/>
          <w:sz w:val="22"/>
          <w:szCs w:val="22"/>
        </w:rPr>
        <w:t xml:space="preserve">1. À partir de ce que tu sais maintenant de la sémiologie (L03) et de l'examen de l'état mental (L04), aide l'éducatrice à structurer son observation : quels éléments noter, comment les formuler factuellement.</w:t>
      </w:r>
    </w:p>
    <w:p>
      <w:pPr>
        <w:spacing w:after="80" w:before="80"/>
      </w:pPr>
      <w:r>
        <w:rPr>
          <w:rFonts w:ascii="Times New Roman" w:cs="Times New Roman" w:eastAsia="Times New Roman" w:hAnsi="Times New Roman"/>
          <w:color w:val="1F2937"/>
          <w:sz w:val="22"/>
          <w:szCs w:val="22"/>
        </w:rPr>
        <w:t xml:space="preserve">2. Rédige une transmission clinique d'une demi-page à l'attention du médecin psychiatre référent, en utilisant le langage observationnel (comportemental, factuel) structuré selon les domaines du MSE pertinents.</w:t>
      </w:r>
    </w:p>
    <w:p>
      <w:pPr>
        <w:spacing w:after="80" w:before="80"/>
      </w:pPr>
      <w:r>
        <w:rPr>
          <w:rFonts w:ascii="Times New Roman" w:cs="Times New Roman" w:eastAsia="Times New Roman" w:hAnsi="Times New Roman"/>
          <w:color w:val="1F2937"/>
          <w:sz w:val="22"/>
          <w:szCs w:val="22"/>
        </w:rPr>
        <w:t xml:space="preserve">3. Quels éléments du modèle normal/pathologique (L02) te permettent d'argumenter l'urgence d'une consultation ? Quels critères (souffrance, durée, retentissement) sont présents ?</w:t>
      </w:r>
    </w:p>
    <w:p>
      <w:pPr>
        <w:spacing w:after="80" w:before="80"/>
      </w:pPr>
      <w:r>
        <w:rPr>
          <w:rFonts w:ascii="Times New Roman" w:cs="Times New Roman" w:eastAsia="Times New Roman" w:hAnsi="Times New Roman"/>
          <w:color w:val="1F2937"/>
          <w:sz w:val="22"/>
          <w:szCs w:val="22"/>
        </w:rPr>
        <w:t xml:space="preserve">4. Quel risque clinique majeur doit être mentionné explicitement dans la transmission, même si tu ne l'évalues pas toi-même ?</w:t>
      </w:r>
    </w:p>
    <w:p>
      <w:pPr>
        <w:spacing w:after="80" w:before="80"/>
      </w:pPr>
      <w:r>
        <w:rPr>
          <w:rFonts w:ascii="Times New Roman" w:cs="Times New Roman" w:eastAsia="Times New Roman" w:hAnsi="Times New Roman"/>
          <w:color w:val="1F2937"/>
          <w:sz w:val="22"/>
          <w:szCs w:val="22"/>
        </w:rPr>
        <w:t xml:space="preserve">5. Comment l'alliance thérapeutique (L04) entre Fabrice et l'équipe éducative conditionne-t-elle la qualité des informations disponibles pour le clinicien ?</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Pont professionnel (ESSMS)</w:t>
      </w:r>
    </w:p>
    <w:p>
      <w:pPr>
        <w:spacing w:after="80" w:before="80"/>
      </w:pPr>
      <w:r>
        <w:rPr>
          <w:rFonts w:ascii="Times New Roman" w:cs="Times New Roman" w:eastAsia="Times New Roman" w:hAnsi="Times New Roman"/>
          <w:color w:val="1F2937"/>
          <w:sz w:val="22"/>
          <w:szCs w:val="22"/>
        </w:rPr>
        <w:t xml:space="preserve">En foyer d'hébergement, tu ne conduis pas d'entretien clinique — mais tu formes et supervises des équipes qui passent 24h/24 auprès des résidents. Comprendre le MSE te permet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Former les équipes à une observation structurée et non stigmatisante (note d'observation vs interprétation clinique).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Améliorer les transmissions vers les partenaires soignants (psychiatre, médecin traitant, HAD) — le vocabulaire commun réduit les déperditions d'information.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Identifier plus tôt les signaux de dégradation psychique pour déclencher à temps une orientation.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Intégrer dans le projet personnalisé des objectifs liés à l'alliance : qualité du lien éducatif, continuité de la relation, gestion des ruptures.</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Lien RBPP HAS : la RBPP « Qualité de vie en ESSMS » et les recommandations sur l'accompagnement des personnes avec TDI insistent sur l'observation fonctionnelle fine et la communication structurée entre professionnels éducatifs et soignants.</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color w:val="1F2937"/>
          <w:sz w:val="22"/>
          <w:szCs w:val="22"/>
        </w:rPr>
        <w:t xml:space="preserve">Sources mobilisées pour cette leçon :</w:t>
      </w:r>
    </w:p>
    <w:p>
      <w:pPr>
        <w:spacing w:after="80" w:before="80"/>
      </w:pPr>
      <w:r>
        <w:rPr>
          <w:rFonts w:ascii="Times New Roman" w:cs="Times New Roman" w:eastAsia="Times New Roman" w:hAnsi="Times New Roman"/>
          <w:color w:val="1F2937"/>
          <w:sz w:val="22"/>
          <w:szCs w:val="22"/>
        </w:rPr>
        <w:t xml:space="preserve"/>
      </w:r>
    </w:p>
    <w:p>
      <w:pPr>
        <w:pStyle w:val="ListParagraph"/>
        <w:numPr>
          <w:ilvl w:val="0"/>
          <w:numId w:val="1"/>
        </w:numPr>
        <w:spacing w:after="60" w:before="60"/>
      </w:pPr>
      <w:hyperlink w:history="1" r:id="rIdtdceordz05jylbbmxv8rn">
        <w:r>
          <w:rPr>
            <w:rFonts w:ascii="Times New Roman" w:cs="Times New Roman" w:eastAsia="Times New Roman" w:hAnsi="Times New Roman"/>
            <w:color w:val="1155CC"/>
            <w:sz w:val="22"/>
            <w:szCs w:val="22"/>
            <w:u w:val="single"/>
          </w:rPr>
          <w:t xml:space="preserve">MSD Manuals (FR) — Bilan psychiatrique initial : anamnèse, examen de l'état mental</w:t>
        </w:r>
      </w:hyperlink>
    </w:p>
    <w:p>
      <w:pPr>
        <w:pStyle w:val="ListParagraph"/>
        <w:numPr>
          <w:ilvl w:val="0"/>
          <w:numId w:val="1"/>
        </w:numPr>
        <w:spacing w:after="60" w:before="60"/>
      </w:pPr>
      <w:hyperlink w:history="1" r:id="rIdenfqk4iajufaykv_eokbr">
        <w:r>
          <w:rPr>
            <w:rFonts w:ascii="Times New Roman" w:cs="Times New Roman" w:eastAsia="Times New Roman" w:hAnsi="Times New Roman"/>
            <w:color w:val="1155CC"/>
            <w:sz w:val="22"/>
            <w:szCs w:val="22"/>
            <w:u w:val="single"/>
          </w:rPr>
          <w:t xml:space="preserve">StatPearls / NCBI — Mental Status Examination : les 12 domaines (EN)</w:t>
        </w:r>
      </w:hyperlink>
    </w:p>
    <w:p>
      <w:pPr>
        <w:pStyle w:val="ListParagraph"/>
        <w:numPr>
          <w:ilvl w:val="0"/>
          <w:numId w:val="1"/>
        </w:numPr>
        <w:spacing w:after="60" w:before="60"/>
      </w:pPr>
      <w:hyperlink w:history="1" r:id="rIdczlrydv4ocv5cdm3ij9jb">
        <w:r>
          <w:rPr>
            <w:rFonts w:ascii="Times New Roman" w:cs="Times New Roman" w:eastAsia="Times New Roman" w:hAnsi="Times New Roman"/>
            <w:color w:val="1155CC"/>
            <w:sz w:val="22"/>
            <w:szCs w:val="22"/>
            <w:u w:val="single"/>
          </w:rPr>
          <w:t xml:space="preserve">Wikipedia — Mental Status Examination : composantes détaillées (EN)</w:t>
        </w:r>
      </w:hyperlink>
    </w:p>
    <w:p>
      <w:pPr>
        <w:pStyle w:val="ListParagraph"/>
        <w:numPr>
          <w:ilvl w:val="0"/>
          <w:numId w:val="1"/>
        </w:numPr>
        <w:spacing w:after="60" w:before="60"/>
      </w:pPr>
      <w:hyperlink w:history="1" r:id="rIdlfidb8vmrp5hxnonz1puh">
        <w:r>
          <w:rPr>
            <w:rFonts w:ascii="Times New Roman" w:cs="Times New Roman" w:eastAsia="Times New Roman" w:hAnsi="Times New Roman"/>
            <w:color w:val="1155CC"/>
            <w:sz w:val="22"/>
            <w:szCs w:val="22"/>
            <w:u w:val="single"/>
          </w:rPr>
          <w:t xml:space="preserve">PsychiatryOnline — Chapter 1: The Psychiatric Interview and MSE (EN)</w:t>
        </w:r>
      </w:hyperlink>
    </w:p>
    <w:p>
      <w:pPr>
        <w:pStyle w:val="ListParagraph"/>
        <w:numPr>
          <w:ilvl w:val="0"/>
          <w:numId w:val="1"/>
        </w:numPr>
        <w:spacing w:after="60" w:before="60"/>
      </w:pPr>
      <w:hyperlink w:history="1" r:id="rIdxqzclgmcbznui2hr71kun">
        <w:r>
          <w:rPr>
            <w:rFonts w:ascii="Times New Roman" w:cs="Times New Roman" w:eastAsia="Times New Roman" w:hAnsi="Times New Roman"/>
            <w:color w:val="1155CC"/>
            <w:sz w:val="22"/>
            <w:szCs w:val="22"/>
            <w:u w:val="single"/>
          </w:rPr>
          <w:t xml:space="preserve">Elsevier / EM-Consulte — Examen clinique de l'adulte en psychiatrie (FR)</w:t>
        </w:r>
      </w:hyperlink>
    </w:p>
    <w:p>
      <w:pPr>
        <w:pStyle w:val="ListParagraph"/>
        <w:numPr>
          <w:ilvl w:val="0"/>
          <w:numId w:val="1"/>
        </w:numPr>
        <w:spacing w:after="60" w:before="60"/>
      </w:pPr>
      <w:hyperlink w:history="1" r:id="rIdecfs8jjsm0y-wv3su4fsq">
        <w:r>
          <w:rPr>
            <w:rFonts w:ascii="Times New Roman" w:cs="Times New Roman" w:eastAsia="Times New Roman" w:hAnsi="Times New Roman"/>
            <w:color w:val="1155CC"/>
            <w:sz w:val="22"/>
            <w:szCs w:val="22"/>
            <w:u w:val="single"/>
          </w:rPr>
          <w:t xml:space="preserve">Psychaanalyse.com — Les bases de l'examen psychiatrique (diaporama 62p, FR)</w:t>
        </w:r>
      </w:hyperlink>
    </w:p>
    <w:p>
      <w:pPr>
        <w:pStyle w:val="ListParagraph"/>
        <w:numPr>
          <w:ilvl w:val="0"/>
          <w:numId w:val="1"/>
        </w:numPr>
        <w:spacing w:after="60" w:before="60"/>
      </w:pPr>
      <w:hyperlink w:history="1" r:id="rId43harbqqon6ni1l6dvl33">
        <w:r>
          <w:rPr>
            <w:rFonts w:ascii="Times New Roman" w:cs="Times New Roman" w:eastAsia="Times New Roman" w:hAnsi="Times New Roman"/>
            <w:color w:val="1155CC"/>
            <w:sz w:val="22"/>
            <w:szCs w:val="22"/>
            <w:u w:val="single"/>
          </w:rPr>
          <w:t xml:space="preserve">Osmind — Comment rédiger un Mental Status Exam : guide et template (EN)</w:t>
        </w:r>
      </w:hyperlink>
    </w:p>
    <w:p>
      <w:pPr>
        <w:pStyle w:val="ListParagraph"/>
        <w:numPr>
          <w:ilvl w:val="0"/>
          <w:numId w:val="1"/>
        </w:numPr>
        <w:spacing w:after="60" w:before="60"/>
      </w:pPr>
      <w:hyperlink w:history="1" r:id="rIdce2bsqugpyhcnsep7ifjg">
        <w:r>
          <w:rPr>
            <w:rFonts w:ascii="Times New Roman" w:cs="Times New Roman" w:eastAsia="Times New Roman" w:hAnsi="Times New Roman"/>
            <w:color w:val="1155CC"/>
            <w:sz w:val="22"/>
            <w:szCs w:val="22"/>
            <w:u w:val="single"/>
          </w:rPr>
          <w:t xml:space="preserve">Behave Health — MSE Guide complet avec exemples (EN)</w:t>
        </w:r>
      </w:hyperlink>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color w:val="1F2937"/>
          <w:sz w:val="22"/>
          <w:szCs w:val="22"/>
        </w:rPr>
        <w:t xml:space="preserve">Leçon n°05 — Les troubles anxieux : anxiété généralisée, phobies, trouble panique, TOC</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Après avoir appris à recueillir et structurer les signes (L03 + L04), tu exploreras le premier grand groupe nosologique : les troubles anxieux. Tu verras comment différencier l'anxiété normale de l'anxiété pathologique, les profils cliniques de chaque trouble, et les approches non médicamenteuses validées (dont certaines applicables en ESSMS).</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Slug prévu : « troubles-anxieux-phobies-panique-toc »</w:t>
      </w:r>
    </w:p>
    <w:p>
      <w:pPr>
        <w:spacing w:after="120" w:before="120"/>
      </w:pPr>
      <w:r>
        <w:rPr>
          <w:rFonts w:ascii="Times New Roman" w:cs="Times New Roman" w:eastAsia="Times New Roman" w:hAnsi="Times New Roman"/>
          <w:color w:val="CCCCCC"/>
          <w:sz w:val="20"/>
          <w:szCs w:val="20"/>
        </w:rPr>
        <w:t xml:space="preserve">─────────────────────────────────────────────────────</w:t>
      </w:r>
    </w:p>
    <w:p>
      <w:pPr>
        <w:spacing w:after="60" w:before="160"/>
        <w:jc w:val="center"/>
      </w:pPr>
      <w:r>
        <w:rPr>
          <w:rFonts w:ascii="Times New Roman" w:cs="Times New Roman" w:eastAsia="Times New Roman" w:hAnsi="Times New Roman"/>
          <w:i/>
          <w:iCs/>
          <w:color w:val="999999"/>
          <w:sz w:val="18"/>
          <w:szCs w:val="18"/>
        </w:rPr>
        <w:t xml:space="preserve">Leçon Psychopathologie clinique n°04 · 6 juillet 2026 · Parcours Fondamental (4/16)</w:t>
      </w:r>
    </w:p>
    <w:p>
      <w:pPr>
        <w:spacing w:after="0" w:before="0"/>
        <w:jc w:val="center"/>
      </w:pPr>
      <w:r>
        <w:rPr>
          <w:rFonts w:ascii="Times New Roman" w:cs="Times New Roman" w:eastAsia="Times New Roman" w:hAnsi="Times New Roman"/>
          <w:i/>
          <w:iCs/>
          <w:color w:val="CC0000"/>
          <w:sz w:val="16"/>
          <w:szCs w:val="16"/>
        </w:rPr>
        <w:t xml:space="preserve">⚠️ Usage personnel — Ces leçons visent à COMPRENDRE, non à diagnostiquer. Le diagnostic psychiatrique est réservé aux médecins psychiatres et psychologues cliniciens.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dceordz05jylbbmxv8rn" Type="http://schemas.openxmlformats.org/officeDocument/2006/relationships/hyperlink" Target="https://www.msdmanuals.com/fr/professional/troubles-psychiatriques/prise-en-charge-du-patient-pr%C3%A9sentant-des-troubles-mentaux/bilan-psychiatrique" TargetMode="External"/><Relationship Id="rIdenfqk4iajufaykv_eokbr" Type="http://schemas.openxmlformats.org/officeDocument/2006/relationships/hyperlink" Target="https://www.ncbi.nlm.nih.gov/books/NBK546682/" TargetMode="External"/><Relationship Id="rIdczlrydv4ocv5cdm3ij9jb" Type="http://schemas.openxmlformats.org/officeDocument/2006/relationships/hyperlink" Target="https://en.wikipedia.org/wiki/Mental_status_examination" TargetMode="External"/><Relationship Id="rIdlfidb8vmrp5hxnonz1puh" Type="http://schemas.openxmlformats.org/officeDocument/2006/relationships/hyperlink" Target="https://psychiatryonline.org/doi/10.1176/appi.books.9781615372980.lr01" TargetMode="External"/><Relationship Id="rIdxqzclgmcbznui2hr71kun" Type="http://schemas.openxmlformats.org/officeDocument/2006/relationships/hyperlink" Target="https://www.em-consulte.com/article/1103589/examen-clinique-de-l-adulte-en-psychiatrie" TargetMode="External"/><Relationship Id="rIdecfs8jjsm0y-wv3su4fsq" Type="http://schemas.openxmlformats.org/officeDocument/2006/relationships/hyperlink" Target="https://psychaanalyse.com/pdf/PSYCHIATRIE_LES_BASES_DE_L_EXAMEN_DIAPORAMA_62P.pdf" TargetMode="External"/><Relationship Id="rId43harbqqon6ni1l6dvl33" Type="http://schemas.openxmlformats.org/officeDocument/2006/relationships/hyperlink" Target="https://www.osmind.org/blog/how-to-write-psychiatry-mental-status-exams-mse-template-with-examples" TargetMode="External"/><Relationship Id="rIdce2bsqugpyhcnsep7ifjg" Type="http://schemas.openxmlformats.org/officeDocument/2006/relationships/hyperlink" Target="https://behavehealth.com/blog/mental-status-exam-guid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2026-07-06T06:07:39.994Z</dcterms:created>
  <dcterms:modified xsi:type="dcterms:W3CDTF">2026-07-06T06:07:39.996Z</dcterms:modified>
</cp:coreProperties>
</file>

<file path=docProps/custom.xml><?xml version="1.0" encoding="utf-8"?>
<Properties xmlns="http://schemas.openxmlformats.org/officeDocument/2006/custom-properties" xmlns:vt="http://schemas.openxmlformats.org/officeDocument/2006/docPropsVTypes"/>
</file>