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Hypnose &amp; auto-hypnose n°19</w:t>
      </w:r>
    </w:p>
    <w:p>
      <w:pPr>
        <w:pStyle w:val="Heading1"/>
        <w:spacing w:after="200" w:before="200"/>
        <w:jc w:val="center"/>
      </w:pPr>
      <w:r>
        <w:rPr>
          <w:rFonts w:ascii="Times New Roman" w:cs="Times New Roman" w:eastAsia="Times New Roman" w:hAnsi="Times New Roman"/>
          <w:b/>
          <w:bCs/>
          <w:color w:val="1B3A6B"/>
          <w:sz w:val="52"/>
          <w:szCs w:val="52"/>
        </w:rPr>
        <w:t xml:space="preserve">Cadre éthique, déontologique et juridique en France</w:t>
      </w:r>
    </w:p>
    <w:p>
      <w:pPr>
        <w:spacing w:after="80"/>
        <w:jc w:val="center"/>
      </w:pPr>
      <w:r>
        <w:rPr>
          <w:rFonts w:ascii="Times New Roman" w:cs="Times New Roman" w:eastAsia="Times New Roman" w:hAnsi="Times New Roman"/>
          <w:i/>
          <w:iCs/>
          <w:color w:val="1F2937"/>
          <w:sz w:val="22"/>
          <w:szCs w:val="22"/>
        </w:rPr>
        <w:t xml:space="preserve">20 octobre 2026  ·  Leçon 19 / 20</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l'issue de cette leçon, tu sauras : (1) ce que la loi française dit — et ne dit pas — sur la pratique de l'hypnose ; (2) quels titres sont protégés et quelles frontières ne pas franchir ; (3) quels principes éthiques s'appliquent quand un professionnel de santé ou un accompagnateur utilise l'hypnose ; (4) comment l'auto-pratique personnelle se situe dans ce cadre.</w:t>
      </w:r>
    </w:p>
    <w:p>
      <w:pPr>
        <w:spacing w:after="120"/>
      </w:pPr>
      <w:r>
        <w:rPr>
          <w:rFonts w:ascii="Times New Roman" w:cs="Times New Roman" w:eastAsia="Times New Roman" w:hAnsi="Times New Roman"/>
          <w:color w:val="1F2937"/>
          <w:sz w:val="22"/>
          <w:szCs w:val="22"/>
        </w:rPr>
        <w:t xml:space="preserve">Lien avec la leçon 18 : nous avons vu ce que les neurosciences établissent — et ce qu'elles n'établissent pas. Ce socle empirique est la première brique du cadre éthique : on ne peut pas prétendre davantage que ce que la recherche permet d'affirmer. La leçon 19 construit la deuxième brique — le cadre légal et déontologique — avant le bilan final (leçon 20).</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Cadre &amp; sécurité</w:t>
      </w:r>
    </w:p>
    <w:p>
      <w:pPr>
        <w:shd w:fill="F3F4F6" w:val="clear"/>
        <w:spacing w:after="160" w:before="160"/>
        <w:ind w:left="360" w:right="360"/>
      </w:pPr>
      <w:r>
        <w:rPr>
          <w:rFonts w:ascii="Times New Roman" w:cs="Times New Roman" w:eastAsia="Times New Roman" w:hAnsi="Times New Roman"/>
          <w:color w:val="1F2937"/>
          <w:sz w:val="22"/>
          <w:szCs w:val="22"/>
        </w:rPr>
        <w:t xml:space="preserve">Cette leçon s'inscrit dans un parcours d'auto-pratique et de développement personnel. Elle ne forme pas à l'hypnothérapie sur autrui. La pratique de l'hypnose thérapeutique sur des personnes accompagnées (ESSMS ou autre contexte) exige une formation qualifiante et un cadre professionnel adapté. Ce contenu ne remplace en aucun cas un avis médical ou psychologique.</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Théorie (20 %) — Le cadre juridique et éthique en France</w:t>
      </w:r>
    </w:p>
    <w:p>
      <w:pPr>
        <w:pStyle w:val="Heading3"/>
        <w:spacing w:after="80" w:before="240"/>
      </w:pPr>
      <w:r>
        <w:rPr>
          <w:rFonts w:ascii="Times New Roman" w:cs="Times New Roman" w:eastAsia="Times New Roman" w:hAnsi="Times New Roman"/>
          <w:b/>
          <w:bCs/>
          <w:color w:val="1F2937"/>
          <w:sz w:val="26"/>
          <w:szCs w:val="26"/>
        </w:rPr>
        <w:t xml:space="preserve">1. Une activité autorisée mais non réglementée</w:t>
      </w:r>
    </w:p>
    <w:p>
      <w:pPr>
        <w:spacing w:after="120"/>
      </w:pPr>
      <w:r>
        <w:rPr>
          <w:rFonts w:ascii="Times New Roman" w:cs="Times New Roman" w:eastAsia="Times New Roman" w:hAnsi="Times New Roman"/>
          <w:color w:val="1F2937"/>
          <w:sz w:val="22"/>
          <w:szCs w:val="22"/>
        </w:rPr>
        <w:t xml:space="preserve">En France, la pratique de l'hypnose n'est encadrée par aucune loi spécifique ni par aucun diplôme d'État. N'importe qui peut, légalement, exercer comme « hypnothérapeute » ou « praticien en hypnose », déclarer une activité en micro-entreprise et recevoir des clients — à condition de respecter l'ensemble du droit commun.</w:t>
      </w:r>
    </w:p>
    <w:p>
      <w:pPr>
        <w:spacing w:after="120"/>
      </w:pPr>
      <w:r>
        <w:rPr>
          <w:rFonts w:ascii="Times New Roman" w:cs="Times New Roman" w:eastAsia="Times New Roman" w:hAnsi="Times New Roman"/>
          <w:color w:val="1F2937"/>
          <w:sz w:val="22"/>
          <w:szCs w:val="22"/>
        </w:rPr>
        <w:t xml:space="preserve">Cette absence de réglementation spécifique a deux faces :</w:t>
      </w:r>
    </w:p>
    <w:p>
      <w:pPr>
        <w:pStyle w:val="ListParagraph"/>
        <w:numPr>
          <w:ilvl w:val="0"/>
          <w:numId w:val="1"/>
        </w:numPr>
        <w:spacing w:after="80"/>
      </w:pPr>
      <w:r>
        <w:rPr>
          <w:rFonts w:ascii="Times New Roman" w:cs="Times New Roman" w:eastAsia="Times New Roman" w:hAnsi="Times New Roman"/>
          <w:color w:val="1F2937"/>
          <w:sz w:val="22"/>
          <w:szCs w:val="22"/>
        </w:rPr>
        <w:t xml:space="preserve">Côté praticien : pas de diplôme d'État requis, pas d'inscription à un Ordre, pas d'autorisation préalable.</w:t>
      </w:r>
    </w:p>
    <w:p>
      <w:pPr>
        <w:pStyle w:val="ListParagraph"/>
        <w:numPr>
          <w:ilvl w:val="0"/>
          <w:numId w:val="1"/>
        </w:numPr>
        <w:spacing w:after="80"/>
      </w:pPr>
      <w:r>
        <w:rPr>
          <w:rFonts w:ascii="Times New Roman" w:cs="Times New Roman" w:eastAsia="Times New Roman" w:hAnsi="Times New Roman"/>
          <w:color w:val="1F2937"/>
          <w:sz w:val="22"/>
          <w:szCs w:val="22"/>
        </w:rPr>
        <w:t xml:space="preserve">Côté public : pas de garantie légale sur la formation, la compétence ou la déontologie du praticien rencontré.</w:t>
      </w:r>
    </w:p>
    <w:p>
      <w:pPr>
        <w:spacing w:after="120"/>
      </w:pPr>
      <w:r>
        <w:rPr>
          <w:rFonts w:ascii="Times New Roman" w:cs="Times New Roman" w:eastAsia="Times New Roman" w:hAnsi="Times New Roman"/>
          <w:color w:val="1F2937"/>
          <w:sz w:val="22"/>
          <w:szCs w:val="22"/>
        </w:rPr>
        <w:t xml:space="preserve">Le seul diplôme reconnu dans le milieu hospitalier est le Diplôme Universitaire (DU) d'hypnose médicale — délivré par des universités, réservé aux professionnels de santé (médecins, infirmiers, sages-femmes, psychologues, kinésithérapeutes), non reconnu par l'Ordre national des médecins comme un diplôme d'État.</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2. La frontière essentielle : hypnose médicale vs non-médicale</w:t>
      </w:r>
    </w:p>
    <w:p>
      <w:pPr>
        <w:spacing w:after="120"/>
      </w:pPr>
      <w:r>
        <w:rPr>
          <w:rFonts w:ascii="Times New Roman" w:cs="Times New Roman" w:eastAsia="Times New Roman" w:hAnsi="Times New Roman"/>
          <w:color w:val="1F2937"/>
          <w:sz w:val="22"/>
          <w:szCs w:val="22"/>
        </w:rPr>
        <w:t xml:space="preserve">La loi ne définit pas l'hypnose en tant que telle, mais elle encadre strictement les actes médicaux. La distinction fondamentale est la suivante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6B" w:val="clear"/>
          </w:tcPr>
          <w:p>
            <w:pPr>
              <w:jc w:val="center"/>
            </w:pPr>
            <w:r>
              <w:rPr>
                <w:rFonts w:ascii="Times New Roman" w:cs="Times New Roman" w:eastAsia="Times New Roman" w:hAnsi="Times New Roman"/>
                <w:b/>
                <w:bCs/>
                <w:color w:val="FFFFFF"/>
                <w:sz w:val="20"/>
                <w:szCs w:val="20"/>
              </w:rPr>
              <w:t xml:space="preserve">Hypnose en contexte médical</w:t>
            </w:r>
          </w:p>
        </w:tc>
        <w:tc>
          <w:tcPr>
            <w:tcW w:type="dxa" w:w="4500"/>
            <w:shd w:fill="1B3A6B" w:val="clear"/>
          </w:tcPr>
          <w:p>
            <w:pPr>
              <w:jc w:val="center"/>
            </w:pPr>
            <w:r>
              <w:rPr>
                <w:rFonts w:ascii="Times New Roman" w:cs="Times New Roman" w:eastAsia="Times New Roman" w:hAnsi="Times New Roman"/>
                <w:b/>
                <w:bCs/>
                <w:color w:val="FFFFFF"/>
                <w:sz w:val="20"/>
                <w:szCs w:val="20"/>
              </w:rPr>
              <w:t xml:space="preserve">Hypnose hors contexte médical</w:t>
            </w:r>
          </w:p>
        </w:tc>
      </w:tr>
      <w:tr>
        <w:tc>
          <w:tcPr>
            <w:tcW w:type="dxa" w:w="4500"/>
            <w:shd w:fill="FFFFFF" w:val="clear"/>
          </w:tcPr>
          <w:p>
            <w:r>
              <w:rPr>
                <w:rFonts w:ascii="Times New Roman" w:cs="Times New Roman" w:eastAsia="Times New Roman" w:hAnsi="Times New Roman"/>
                <w:color w:val="1F2937"/>
                <w:sz w:val="20"/>
                <w:szCs w:val="20"/>
              </w:rPr>
              <w:t xml:space="preserve">Réalisée par un professionnel de santé habilité</w:t>
            </w:r>
          </w:p>
        </w:tc>
        <w:tc>
          <w:tcPr>
            <w:tcW w:type="dxa" w:w="4500"/>
            <w:shd w:fill="FFFFFF" w:val="clear"/>
          </w:tcPr>
          <w:p>
            <w:r>
              <w:rPr>
                <w:rFonts w:ascii="Times New Roman" w:cs="Times New Roman" w:eastAsia="Times New Roman" w:hAnsi="Times New Roman"/>
                <w:color w:val="1F2937"/>
                <w:sz w:val="20"/>
                <w:szCs w:val="20"/>
              </w:rPr>
              <w:t xml:space="preserve">Pratiquée par un hypnothérapeute non-médecin</w:t>
            </w:r>
          </w:p>
        </w:tc>
      </w:tr>
      <w:tr>
        <w:tc>
          <w:tcPr>
            <w:tcW w:type="dxa" w:w="4500"/>
            <w:shd w:fill="EEF2F7" w:val="clear"/>
          </w:tcPr>
          <w:p>
            <w:r>
              <w:rPr>
                <w:rFonts w:ascii="Times New Roman" w:cs="Times New Roman" w:eastAsia="Times New Roman" w:hAnsi="Times New Roman"/>
                <w:color w:val="1F2937"/>
                <w:sz w:val="20"/>
                <w:szCs w:val="20"/>
              </w:rPr>
              <w:t xml:space="preserve">Acte de soin intégré à une prise en charge</w:t>
            </w:r>
          </w:p>
        </w:tc>
        <w:tc>
          <w:tcPr>
            <w:tcW w:type="dxa" w:w="4500"/>
            <w:shd w:fill="EEF2F7" w:val="clear"/>
          </w:tcPr>
          <w:p>
            <w:r>
              <w:rPr>
                <w:rFonts w:ascii="Times New Roman" w:cs="Times New Roman" w:eastAsia="Times New Roman" w:hAnsi="Times New Roman"/>
                <w:color w:val="1F2937"/>
                <w:sz w:val="20"/>
                <w:szCs w:val="20"/>
              </w:rPr>
              <w:t xml:space="preserve">Démarche d'accompagnement centrée sur le bien-être</w:t>
            </w:r>
          </w:p>
        </w:tc>
      </w:tr>
      <w:tr>
        <w:tc>
          <w:tcPr>
            <w:tcW w:type="dxa" w:w="4500"/>
            <w:shd w:fill="FFFFFF" w:val="clear"/>
          </w:tcPr>
          <w:p>
            <w:r>
              <w:rPr>
                <w:rFonts w:ascii="Times New Roman" w:cs="Times New Roman" w:eastAsia="Times New Roman" w:hAnsi="Times New Roman"/>
                <w:color w:val="1F2937"/>
                <w:sz w:val="20"/>
                <w:szCs w:val="20"/>
              </w:rPr>
              <w:t xml:space="preserve">Peut inclure diagnostic et traitement</w:t>
            </w:r>
          </w:p>
        </w:tc>
        <w:tc>
          <w:tcPr>
            <w:tcW w:type="dxa" w:w="4500"/>
            <w:shd w:fill="FFFFFF" w:val="clear"/>
          </w:tcPr>
          <w:p>
            <w:r>
              <w:rPr>
                <w:rFonts w:ascii="Times New Roman" w:cs="Times New Roman" w:eastAsia="Times New Roman" w:hAnsi="Times New Roman"/>
                <w:color w:val="1F2937"/>
                <w:sz w:val="20"/>
                <w:szCs w:val="20"/>
              </w:rPr>
              <w:t xml:space="preserve">Sans diagnostic ni traitement de maladie</w:t>
            </w:r>
          </w:p>
        </w:tc>
      </w:tr>
      <w:tr>
        <w:tc>
          <w:tcPr>
            <w:tcW w:type="dxa" w:w="4500"/>
            <w:shd w:fill="EEF2F7" w:val="clear"/>
          </w:tcPr>
          <w:p>
            <w:r>
              <w:rPr>
                <w:rFonts w:ascii="Times New Roman" w:cs="Times New Roman" w:eastAsia="Times New Roman" w:hAnsi="Times New Roman"/>
                <w:color w:val="1F2937"/>
                <w:sz w:val="20"/>
                <w:szCs w:val="20"/>
              </w:rPr>
              <w:t xml:space="preserve">DU hypnose médicale recommandé</w:t>
            </w:r>
          </w:p>
        </w:tc>
        <w:tc>
          <w:tcPr>
            <w:tcW w:type="dxa" w:w="4500"/>
            <w:shd w:fill="EEF2F7" w:val="clear"/>
          </w:tcPr>
          <w:p>
            <w:r>
              <w:rPr>
                <w:rFonts w:ascii="Times New Roman" w:cs="Times New Roman" w:eastAsia="Times New Roman" w:hAnsi="Times New Roman"/>
                <w:color w:val="1F2937"/>
                <w:sz w:val="20"/>
                <w:szCs w:val="20"/>
              </w:rPr>
              <w:t xml:space="preserve">Formation privée, aucun diplôme d'État requis</w:t>
            </w:r>
          </w:p>
        </w:tc>
      </w:tr>
    </w:tbl>
    <w:p>
      <w:r>
        <w:t xml:space="preserve"/>
      </w:r>
    </w:p>
    <w:p>
      <w:pPr>
        <w:spacing w:after="120"/>
      </w:pPr>
      <w:r>
        <w:rPr>
          <w:rFonts w:ascii="Times New Roman" w:cs="Times New Roman" w:eastAsia="Times New Roman" w:hAnsi="Times New Roman"/>
          <w:color w:val="1F2937"/>
          <w:sz w:val="22"/>
          <w:szCs w:val="22"/>
        </w:rPr>
        <w:t xml:space="preserve">Un hypnothérapeute non-médecin qui pose un diagnostic (« vous souffrez d'une dépression ») et propose un traitement par hypnose commet un exercice illégal de la médecine — même si ses intentions sont bienveillantes.</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3. L'exercice illégal de la médecine (art. L4161-1 à L4161-6 CSP)</w:t>
      </w:r>
    </w:p>
    <w:p>
      <w:pPr>
        <w:spacing w:after="120"/>
      </w:pPr>
      <w:r>
        <w:rPr>
          <w:rFonts w:ascii="Times New Roman" w:cs="Times New Roman" w:eastAsia="Times New Roman" w:hAnsi="Times New Roman"/>
          <w:color w:val="1F2937"/>
          <w:sz w:val="22"/>
          <w:szCs w:val="22"/>
        </w:rPr>
        <w:t xml:space="preserve">Le délit d'exercice illégal de la médecine est prévu et réprimé par les articles L4161-1 à L4161-6 du Code de la santé publique. Il est constitué dès lors qu'une personne pose un diagnostic ou traite une maladie, habituellement ou par direction suivie, sans avoir le diplôme requis pour être médecin, chirurgien-dentiste ou sage-femme.</w:t>
      </w:r>
    </w:p>
    <w:p>
      <w:pPr>
        <w:spacing w:after="120"/>
      </w:pPr>
      <w:r>
        <w:rPr>
          <w:rFonts w:ascii="Times New Roman" w:cs="Times New Roman" w:eastAsia="Times New Roman" w:hAnsi="Times New Roman"/>
          <w:color w:val="1F2937"/>
          <w:sz w:val="22"/>
          <w:szCs w:val="22"/>
        </w:rPr>
        <w:t xml:space="preserve">Sanction : deux ans d'emprisonnement et 30 000 euros d'amende (source : Wikipedia, Exercice illégal de la médecine en droit pénal français).</w:t>
      </w:r>
    </w:p>
    <w:p>
      <w:pPr>
        <w:spacing w:after="120"/>
      </w:pPr>
      <w:r>
        <w:rPr>
          <w:rFonts w:ascii="Times New Roman" w:cs="Times New Roman" w:eastAsia="Times New Roman" w:hAnsi="Times New Roman"/>
          <w:color w:val="1F2937"/>
          <w:sz w:val="22"/>
          <w:szCs w:val="22"/>
        </w:rPr>
        <w:t xml:space="preserve">Historique : la pratique de l'hypnose en tant que traitement a déjà fait l'objet de condamnations — notamment un arrêt de la Cour de cassation du 17 décembre 1859 condamnant un agent médical qui travaillait avec des hypnotiseurs.</w:t>
      </w:r>
    </w:p>
    <w:p>
      <w:pPr>
        <w:shd w:fill="F3F4F6" w:val="clear"/>
        <w:spacing w:after="160" w:before="160"/>
        <w:ind w:left="360" w:right="360"/>
      </w:pPr>
      <w:r>
        <w:rPr>
          <w:rFonts w:ascii="Times New Roman" w:cs="Times New Roman" w:eastAsia="Times New Roman" w:hAnsi="Times New Roman"/>
          <w:color w:val="1F2937"/>
          <w:sz w:val="22"/>
          <w:szCs w:val="22"/>
        </w:rPr>
        <w:t xml:space="preserve">Règle pratique : un praticien en hypnose non-médecin ne propose ni diagnostic, ni soin, ni traitement. Il peut accompagner, soutenir, proposer des exercices de bien-être. Il oriente vers un professionnel de santé dès qu'un trouble psychique ou somatique est évoqué.</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4. Les titres protégés</w:t>
      </w:r>
    </w:p>
    <w:p>
      <w:pPr>
        <w:spacing w:after="120"/>
      </w:pPr>
      <w:r>
        <w:rPr>
          <w:rFonts w:ascii="Times New Roman" w:cs="Times New Roman" w:eastAsia="Times New Roman" w:hAnsi="Times New Roman"/>
          <w:color w:val="1F2937"/>
          <w:sz w:val="22"/>
          <w:szCs w:val="22"/>
        </w:rPr>
        <w:t xml:space="preserve">Le titre « hypnothérapeute » n'est pas protégé par la loi. En revanche, certains titres connexes le sont strictement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encadré par la loi du 9 août 2004 et le décret de 2010. Réservé aux personnes inscrites sur le registre national des psychothérapeutes, après validation par l'ARS. Usurper ce titre est une infraction pénale.</w:t>
      </w:r>
      <w:r>
        <w:rPr>
          <w:rFonts w:ascii="Times New Roman" w:cs="Times New Roman" w:eastAsia="Times New Roman" w:hAnsi="Times New Roman"/>
          <w:color w:val="1F2937"/>
          <w:sz w:val="22"/>
          <w:szCs w:val="22"/>
        </w:rPr>
        <w:t xml:space="preserve">« Psychothérapeute »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titre protégé par la loi, soumis à des conditions de diplôme universitaire (master ou doctorat en psychologie).</w:t>
      </w:r>
      <w:r>
        <w:rPr>
          <w:rFonts w:ascii="Times New Roman" w:cs="Times New Roman" w:eastAsia="Times New Roman" w:hAnsi="Times New Roman"/>
          <w:color w:val="1F2937"/>
          <w:sz w:val="22"/>
          <w:szCs w:val="22"/>
        </w:rPr>
        <w:t xml:space="preserve">« Psychologue »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professions médicales réglementées, inscription obligatoire au tableau de l'Ordre.</w:t>
      </w:r>
      <w:r>
        <w:rPr>
          <w:rFonts w:ascii="Times New Roman" w:cs="Times New Roman" w:eastAsia="Times New Roman" w:hAnsi="Times New Roman"/>
          <w:color w:val="1F2937"/>
          <w:sz w:val="22"/>
          <w:szCs w:val="22"/>
        </w:rPr>
        <w:t xml:space="preserve">« Médecin », « chirurgien-dentiste », « sage-femme » :</w:t>
      </w:r>
    </w:p>
    <w:p>
      <w:pPr>
        <w:spacing w:after="120"/>
      </w:pPr>
      <w:r>
        <w:rPr>
          <w:rFonts w:ascii="Times New Roman" w:cs="Times New Roman" w:eastAsia="Times New Roman" w:hAnsi="Times New Roman"/>
          <w:color w:val="1F2937"/>
          <w:sz w:val="22"/>
          <w:szCs w:val="22"/>
        </w:rPr>
        <w:t xml:space="preserve">Un praticien en hypnose qui se présenterait comme « psychothérapeute » sans remplir ces conditions s'expose à des poursuites pour usurpation de titre.</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5. Les codes de déontologie professionnels</w:t>
      </w:r>
    </w:p>
    <w:p>
      <w:pPr>
        <w:spacing w:after="120"/>
      </w:pPr>
      <w:r>
        <w:rPr>
          <w:rFonts w:ascii="Times New Roman" w:cs="Times New Roman" w:eastAsia="Times New Roman" w:hAnsi="Times New Roman"/>
          <w:color w:val="1F2937"/>
          <w:sz w:val="22"/>
          <w:szCs w:val="22"/>
        </w:rPr>
        <w:t xml:space="preserve">En l'absence de réglementation légale propre, la profession s'est dotée de codes de déontologie privés, édictés par des syndicats et associations professionnelles (Association Européenne des Praticiens en Hypnose, syndicats d'hypnothérapeutes, etc.). Ces codes ne sont pas opposables juridiquement mais structurent les pratiques éthiques du secteur.</w:t>
      </w:r>
    </w:p>
    <w:p>
      <w:pPr>
        <w:spacing w:after="120"/>
      </w:pPr>
      <w:r>
        <w:rPr>
          <w:rFonts w:ascii="Times New Roman" w:cs="Times New Roman" w:eastAsia="Times New Roman" w:hAnsi="Times New Roman"/>
          <w:color w:val="1F2937"/>
          <w:sz w:val="22"/>
          <w:szCs w:val="22"/>
        </w:rPr>
        <w:t xml:space="preserve">Pour les professionnels de santé qui utilisent l'hypnose dans leur pratique, c'est leur code de déontologie propre qui s'applique. Exemple : le Code de déontologie des psychologues (2021, CNCDP) prescrit :</w:t>
      </w:r>
    </w:p>
    <w:p>
      <w:pPr>
        <w:spacing w:after="80" w:before="80"/>
        <w:ind w:left="480"/>
      </w:pPr>
      <w:r>
        <w:rPr>
          <w:rFonts w:ascii="Times New Roman" w:cs="Times New Roman" w:eastAsia="Times New Roman" w:hAnsi="Times New Roman"/>
          <w:i/>
          <w:iCs/>
          <w:color w:val="1B3A6B"/>
          <w:sz w:val="22"/>
          <w:szCs w:val="22"/>
        </w:rPr>
        <w:t xml:space="preserve">La·le psychologue recherche systématiquement le consentement libre et éclairé de ceux qui la·le consultent ou qui participent à une évaluation ou une expertise. Elle·il les informe de façon claire et intelligible des objectifs, des modalités, du coût éventuel et des limites de son intervention. — Code de déontologie des psychologues, 2021, Article 9</w:t>
      </w:r>
    </w:p>
    <w:p>
      <w:pPr>
        <w:spacing w:after="120"/>
      </w:pPr>
      <w:r>
        <w:rPr>
          <w:rFonts w:ascii="Times New Roman" w:cs="Times New Roman" w:eastAsia="Times New Roman" w:hAnsi="Times New Roman"/>
          <w:color w:val="1F2937"/>
          <w:sz w:val="22"/>
          <w:szCs w:val="22"/>
        </w:rPr>
        <w:t xml:space="preserve">Ce principe est fondamental en hypnose : la technique modifie l'état de conscience, ce qui rend le consentement préalable, libre et éclairé d'autant plus important.</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6. Principes éthiques transversaux</w:t>
      </w:r>
    </w:p>
    <w:p>
      <w:pPr>
        <w:spacing w:after="120"/>
      </w:pPr>
      <w:r>
        <w:rPr>
          <w:rFonts w:ascii="Times New Roman" w:cs="Times New Roman" w:eastAsia="Times New Roman" w:hAnsi="Times New Roman"/>
          <w:color w:val="1F2937"/>
          <w:sz w:val="22"/>
          <w:szCs w:val="22"/>
        </w:rPr>
        <w:t xml:space="preserve">Que l'on soit professionnel de santé ou praticien non-médecin, les principes éthiques suivants s'appliquent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A6B" w:val="clear"/>
          </w:tcPr>
          <w:p>
            <w:pPr>
              <w:jc w:val="center"/>
            </w:pPr>
            <w:r>
              <w:rPr>
                <w:rFonts w:ascii="Times New Roman" w:cs="Times New Roman" w:eastAsia="Times New Roman" w:hAnsi="Times New Roman"/>
                <w:b/>
                <w:bCs/>
                <w:color w:val="FFFFFF"/>
                <w:sz w:val="20"/>
                <w:szCs w:val="20"/>
              </w:rPr>
              <w:t xml:space="preserve">Principe</w:t>
            </w:r>
          </w:p>
        </w:tc>
        <w:tc>
          <w:tcPr>
            <w:tcW w:type="dxa" w:w="4500"/>
            <w:shd w:fill="1B3A6B" w:val="clear"/>
          </w:tcPr>
          <w:p>
            <w:pPr>
              <w:jc w:val="center"/>
            </w:pPr>
            <w:r>
              <w:rPr>
                <w:rFonts w:ascii="Times New Roman" w:cs="Times New Roman" w:eastAsia="Times New Roman" w:hAnsi="Times New Roman"/>
                <w:b/>
                <w:bCs/>
                <w:color w:val="FFFFFF"/>
                <w:sz w:val="20"/>
                <w:szCs w:val="20"/>
              </w:rPr>
              <w:t xml:space="preserve">Ce que cela signifie concrètement</w:t>
            </w:r>
          </w:p>
        </w:tc>
      </w:tr>
      <w:tr>
        <w:tc>
          <w:tcPr>
            <w:tcW w:type="dxa" w:w="4500"/>
            <w:shd w:fill="FFFFFF" w:val="clear"/>
          </w:tcPr>
          <w:p>
            <w:r>
              <w:rPr>
                <w:rFonts w:ascii="Times New Roman" w:cs="Times New Roman" w:eastAsia="Times New Roman" w:hAnsi="Times New Roman"/>
                <w:color w:val="1F2937"/>
                <w:sz w:val="20"/>
                <w:szCs w:val="20"/>
              </w:rPr>
              <w:t xml:space="preserve">Consentement éclairé</w:t>
            </w:r>
          </w:p>
        </w:tc>
        <w:tc>
          <w:tcPr>
            <w:tcW w:type="dxa" w:w="4500"/>
            <w:shd w:fill="FFFFFF" w:val="clear"/>
          </w:tcPr>
          <w:p>
            <w:r>
              <w:rPr>
                <w:rFonts w:ascii="Times New Roman" w:cs="Times New Roman" w:eastAsia="Times New Roman" w:hAnsi="Times New Roman"/>
                <w:color w:val="1F2937"/>
                <w:sz w:val="20"/>
                <w:szCs w:val="20"/>
              </w:rPr>
              <w:t xml:space="preserve">Expliquer ce qu'est l'hypnose, ce qu'elle n'est pas, et obtenir un accord explicite avant toute induction</w:t>
            </w:r>
          </w:p>
        </w:tc>
      </w:tr>
      <w:tr>
        <w:tc>
          <w:tcPr>
            <w:tcW w:type="dxa" w:w="4500"/>
            <w:shd w:fill="EEF2F7" w:val="clear"/>
          </w:tcPr>
          <w:p>
            <w:r>
              <w:rPr>
                <w:rFonts w:ascii="Times New Roman" w:cs="Times New Roman" w:eastAsia="Times New Roman" w:hAnsi="Times New Roman"/>
                <w:color w:val="1F2937"/>
                <w:sz w:val="20"/>
                <w:szCs w:val="20"/>
              </w:rPr>
              <w:t xml:space="preserve">Confidentialité</w:t>
            </w:r>
          </w:p>
        </w:tc>
        <w:tc>
          <w:tcPr>
            <w:tcW w:type="dxa" w:w="4500"/>
            <w:shd w:fill="EEF2F7" w:val="clear"/>
          </w:tcPr>
          <w:p>
            <w:r>
              <w:rPr>
                <w:rFonts w:ascii="Times New Roman" w:cs="Times New Roman" w:eastAsia="Times New Roman" w:hAnsi="Times New Roman"/>
                <w:color w:val="1F2937"/>
                <w:sz w:val="20"/>
                <w:szCs w:val="20"/>
              </w:rPr>
              <w:t xml:space="preserve">Ce qui est dit en séance reste confidentiel, sauf obligation légale</w:t>
            </w:r>
          </w:p>
        </w:tc>
      </w:tr>
      <w:tr>
        <w:tc>
          <w:tcPr>
            <w:tcW w:type="dxa" w:w="4500"/>
            <w:shd w:fill="FFFFFF" w:val="clear"/>
          </w:tcPr>
          <w:p>
            <w:r>
              <w:rPr>
                <w:rFonts w:ascii="Times New Roman" w:cs="Times New Roman" w:eastAsia="Times New Roman" w:hAnsi="Times New Roman"/>
                <w:color w:val="1F2937"/>
                <w:sz w:val="20"/>
                <w:szCs w:val="20"/>
              </w:rPr>
              <w:t xml:space="preserve">Compétence</w:t>
            </w:r>
          </w:p>
        </w:tc>
        <w:tc>
          <w:tcPr>
            <w:tcW w:type="dxa" w:w="4500"/>
            <w:shd w:fill="FFFFFF" w:val="clear"/>
          </w:tcPr>
          <w:p>
            <w:r>
              <w:rPr>
                <w:rFonts w:ascii="Times New Roman" w:cs="Times New Roman" w:eastAsia="Times New Roman" w:hAnsi="Times New Roman"/>
                <w:color w:val="1F2937"/>
                <w:sz w:val="20"/>
                <w:szCs w:val="20"/>
              </w:rPr>
              <w:t xml:space="preserve">Pratiquer dans le périmètre de sa formation et de ses compétences réelles</w:t>
            </w:r>
          </w:p>
        </w:tc>
      </w:tr>
      <w:tr>
        <w:tc>
          <w:tcPr>
            <w:tcW w:type="dxa" w:w="4500"/>
            <w:shd w:fill="EEF2F7" w:val="clear"/>
          </w:tcPr>
          <w:p>
            <w:r>
              <w:rPr>
                <w:rFonts w:ascii="Times New Roman" w:cs="Times New Roman" w:eastAsia="Times New Roman" w:hAnsi="Times New Roman"/>
                <w:color w:val="1F2937"/>
                <w:sz w:val="20"/>
                <w:szCs w:val="20"/>
              </w:rPr>
              <w:t xml:space="preserve">Non-malfaisance</w:t>
            </w:r>
          </w:p>
        </w:tc>
        <w:tc>
          <w:tcPr>
            <w:tcW w:type="dxa" w:w="4500"/>
            <w:shd w:fill="EEF2F7" w:val="clear"/>
          </w:tcPr>
          <w:p>
            <w:r>
              <w:rPr>
                <w:rFonts w:ascii="Times New Roman" w:cs="Times New Roman" w:eastAsia="Times New Roman" w:hAnsi="Times New Roman"/>
                <w:color w:val="1F2937"/>
                <w:sz w:val="20"/>
                <w:szCs w:val="20"/>
              </w:rPr>
              <w:t xml:space="preserve">Ne pas promettre de résultats, ne pas alimenter une dépendance à l'hypnose</w:t>
            </w:r>
          </w:p>
        </w:tc>
      </w:tr>
      <w:tr>
        <w:tc>
          <w:tcPr>
            <w:tcW w:type="dxa" w:w="4500"/>
            <w:shd w:fill="FFFFFF" w:val="clear"/>
          </w:tcPr>
          <w:p>
            <w:r>
              <w:rPr>
                <w:rFonts w:ascii="Times New Roman" w:cs="Times New Roman" w:eastAsia="Times New Roman" w:hAnsi="Times New Roman"/>
                <w:color w:val="1F2937"/>
                <w:sz w:val="20"/>
                <w:szCs w:val="20"/>
              </w:rPr>
              <w:t xml:space="preserve">Orientation</w:t>
            </w:r>
          </w:p>
        </w:tc>
        <w:tc>
          <w:tcPr>
            <w:tcW w:type="dxa" w:w="4500"/>
            <w:shd w:fill="FFFFFF" w:val="clear"/>
          </w:tcPr>
          <w:p>
            <w:r>
              <w:rPr>
                <w:rFonts w:ascii="Times New Roman" w:cs="Times New Roman" w:eastAsia="Times New Roman" w:hAnsi="Times New Roman"/>
                <w:color w:val="1F2937"/>
                <w:sz w:val="20"/>
                <w:szCs w:val="20"/>
              </w:rPr>
              <w:t xml:space="preserve">Rediriger vers un professionnel de santé dès qu'une pathologie est évoquée</w:t>
            </w:r>
          </w:p>
        </w:tc>
      </w:tr>
      <w:tr>
        <w:tc>
          <w:tcPr>
            <w:tcW w:type="dxa" w:w="4500"/>
            <w:shd w:fill="EEF2F7" w:val="clear"/>
          </w:tcPr>
          <w:p>
            <w:r>
              <w:rPr>
                <w:rFonts w:ascii="Times New Roman" w:cs="Times New Roman" w:eastAsia="Times New Roman" w:hAnsi="Times New Roman"/>
                <w:color w:val="1F2937"/>
                <w:sz w:val="20"/>
                <w:szCs w:val="20"/>
              </w:rPr>
              <w:t xml:space="preserve">Protection des vulnérables</w:t>
            </w:r>
          </w:p>
        </w:tc>
        <w:tc>
          <w:tcPr>
            <w:tcW w:type="dxa" w:w="4500"/>
            <w:shd w:fill="EEF2F7" w:val="clear"/>
          </w:tcPr>
          <w:p>
            <w:r>
              <w:rPr>
                <w:rFonts w:ascii="Times New Roman" w:cs="Times New Roman" w:eastAsia="Times New Roman" w:hAnsi="Times New Roman"/>
                <w:color w:val="1F2937"/>
                <w:sz w:val="20"/>
                <w:szCs w:val="20"/>
              </w:rPr>
              <w:t xml:space="preserve">Attention particulière avec les mineurs, les personnes en état de détresse ou dont le discernement est altéré</w:t>
            </w:r>
          </w:p>
        </w:tc>
      </w:tr>
    </w:tbl>
    <w:p>
      <w:r>
        <w:t xml:space="preserve"/>
      </w:r>
    </w:p>
    <w:p>
      <w:pPr>
        <w:spacing w:after="120"/>
      </w:pPr>
      <w:r>
        <w:rPr>
          <w:rFonts w:ascii="Times New Roman" w:cs="Times New Roman" w:eastAsia="Times New Roman" w:hAnsi="Times New Roman"/>
          <w:color w:val="1F2937"/>
          <w:sz w:val="22"/>
          <w:szCs w:val="22"/>
        </w:rPr>
        <w:t xml:space="preserve">Pour les mineurs et les majeurs protégés : le Code de déontologie des psychologues (2021, art. 11-12) précise que le professionnel doit s'assurer autant que possible du consentement du mineur et rechercher l'autorisation des représentants légaux. Ce principe vaut dans tout contexte d'accompagnement psychologique, dont l'hypnose.</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7. Le cas de l'auto-hypnose personnelle</w:t>
      </w:r>
    </w:p>
    <w:p>
      <w:pPr>
        <w:spacing w:after="120"/>
      </w:pPr>
      <w:r>
        <w:rPr>
          <w:rFonts w:ascii="Times New Roman" w:cs="Times New Roman" w:eastAsia="Times New Roman" w:hAnsi="Times New Roman"/>
          <w:color w:val="1F2937"/>
          <w:sz w:val="22"/>
          <w:szCs w:val="22"/>
        </w:rPr>
        <w:t xml:space="preserve">L'auto-hypnose pratiquée pour soi ne relève d'aucune restriction légale. Elle s'inscrit dans le droit commun à l'autonomie personnelle. Aucune loi n'interdit d'explorer ses propres états de conscience, de pratiquer la relaxation profonde ou les suggestions auto-dirigées pour le développement personnel.</w:t>
      </w:r>
    </w:p>
    <w:p>
      <w:pPr>
        <w:spacing w:after="120"/>
      </w:pPr>
      <w:r>
        <w:rPr>
          <w:rFonts w:ascii="Times New Roman" w:cs="Times New Roman" w:eastAsia="Times New Roman" w:hAnsi="Times New Roman"/>
          <w:color w:val="1F2937"/>
          <w:sz w:val="22"/>
          <w:szCs w:val="22"/>
        </w:rPr>
        <w:t xml:space="preserve">Ce parcours est entièrement dans ce périmètre : apprendre à entrer en transe, à formuler des suggestions pour soi, à ancrer des ressources personnelles. C'est ce que nous avons pratiqué pendant 18 leçons.</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Pratique (80 %) — Exercices</w:t>
      </w:r>
    </w:p>
    <w:p>
      <w:pPr>
        <w:pStyle w:val="Heading3"/>
        <w:spacing w:after="80" w:before="240"/>
      </w:pPr>
      <w:r>
        <w:rPr>
          <w:rFonts w:ascii="Times New Roman" w:cs="Times New Roman" w:eastAsia="Times New Roman" w:hAnsi="Times New Roman"/>
          <w:b/>
          <w:bCs/>
          <w:color w:val="1F2937"/>
          <w:sz w:val="26"/>
          <w:szCs w:val="26"/>
        </w:rPr>
        <w:t xml:space="preserve">Exercice 1 — Cartographie de ma zone légale et éthique</w:t>
      </w:r>
    </w:p>
    <w:p>
      <w:pPr>
        <w:spacing w:after="120"/>
      </w:pPr>
      <w:r>
        <w:rPr>
          <w:rFonts w:ascii="Times New Roman" w:cs="Times New Roman" w:eastAsia="Times New Roman" w:hAnsi="Times New Roman"/>
          <w:color w:val="1F2937"/>
          <w:sz w:val="22"/>
          <w:szCs w:val="22"/>
        </w:rPr>
        <w:t xml:space="preserve">Objectif : clarifier ce que je peux faire, ce que je ne dois pas faire, et pourquoi.</w:t>
      </w:r>
    </w:p>
    <w:p>
      <w:pPr>
        <w:spacing w:after="120"/>
      </w:pPr>
      <w:r>
        <w:rPr>
          <w:rFonts w:ascii="Times New Roman" w:cs="Times New Roman" w:eastAsia="Times New Roman" w:hAnsi="Times New Roman"/>
          <w:color w:val="1F2937"/>
          <w:sz w:val="22"/>
          <w:szCs w:val="22"/>
        </w:rPr>
        <w:t xml:space="preserve">Durée : 15 minutes.</w:t>
      </w:r>
    </w:p>
    <w:p>
      <w:pPr>
        <w:spacing w:after="120"/>
      </w:pPr>
      <w:r>
        <w:rPr>
          <w:rFonts w:ascii="Times New Roman" w:cs="Times New Roman" w:eastAsia="Times New Roman" w:hAnsi="Times New Roman"/>
          <w:color w:val="1F2937"/>
          <w:sz w:val="22"/>
          <w:szCs w:val="22"/>
        </w:rPr>
        <w:t xml:space="preserve">Instructions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Prends une feuille. Trace trois colonnes : « Ce que je peux faire pour moi », « Ce que je peux partager sans risque », « Ce que je ne dois pas faire ».</w:t>
      </w:r>
    </w:p>
    <w:p>
      <w:pPr>
        <w:pStyle w:val="ListParagraph"/>
        <w:numPr>
          <w:ilvl w:val="0"/>
          <w:numId w:val="1"/>
        </w:numPr>
        <w:spacing w:after="80"/>
      </w:pPr>
      <w:r>
        <w:rPr>
          <w:rFonts w:ascii="Times New Roman" w:cs="Times New Roman" w:eastAsia="Times New Roman" w:hAnsi="Times New Roman"/>
          <w:color w:val="1F2937"/>
          <w:sz w:val="22"/>
          <w:szCs w:val="22"/>
        </w:rPr>
        <w:t xml:space="preserve">Remplis chaque colonne avec des exemples concrets tirés de ce parcours et de ta vie professionnelle.</w:t>
      </w:r>
    </w:p>
    <w:p>
      <w:pPr>
        <w:pStyle w:val="ListParagraph"/>
        <w:numPr>
          <w:ilvl w:val="0"/>
          <w:numId w:val="1"/>
        </w:numPr>
        <w:spacing w:after="80"/>
      </w:pPr>
      <w:r>
        <w:rPr>
          <w:rFonts w:ascii="Times New Roman" w:cs="Times New Roman" w:eastAsia="Times New Roman" w:hAnsi="Times New Roman"/>
          <w:color w:val="1F2937"/>
          <w:sz w:val="22"/>
          <w:szCs w:val="22"/>
        </w:rPr>
        <w:t xml:space="preserve">Exemples possibles dans la première colonne : induction par fixation, auto-suggestion d'ancrage, respiration hypnotique au réveil.</w:t>
      </w:r>
    </w:p>
    <w:p>
      <w:pPr>
        <w:pStyle w:val="ListParagraph"/>
        <w:numPr>
          <w:ilvl w:val="0"/>
          <w:numId w:val="1"/>
        </w:numPr>
        <w:spacing w:after="80"/>
      </w:pPr>
      <w:r>
        <w:rPr>
          <w:rFonts w:ascii="Times New Roman" w:cs="Times New Roman" w:eastAsia="Times New Roman" w:hAnsi="Times New Roman"/>
          <w:color w:val="1F2937"/>
          <w:sz w:val="22"/>
          <w:szCs w:val="22"/>
        </w:rPr>
        <w:t xml:space="preserve">Exemples possibles dans la deuxième : expliquer ce qu'est l'hypnose, partager un exercice de cohérence cardiaque, parler d'état de flow.</w:t>
      </w:r>
    </w:p>
    <w:p>
      <w:pPr>
        <w:pStyle w:val="ListParagraph"/>
        <w:numPr>
          <w:ilvl w:val="0"/>
          <w:numId w:val="1"/>
        </w:numPr>
        <w:spacing w:after="80"/>
      </w:pPr>
      <w:r>
        <w:rPr>
          <w:rFonts w:ascii="Times New Roman" w:cs="Times New Roman" w:eastAsia="Times New Roman" w:hAnsi="Times New Roman"/>
          <w:color w:val="1F2937"/>
          <w:sz w:val="22"/>
          <w:szCs w:val="22"/>
        </w:rPr>
        <w:t xml:space="preserve">Exemples dans la troisième : induire une transe chez une personne accompagnée sans qualification, promettre une amélioration d'un symptôme, me présenter comme psychothérapeute.</w:t>
      </w:r>
    </w:p>
    <w:p>
      <w:pPr>
        <w:spacing w:after="120"/>
      </w:pPr>
      <w:r>
        <w:rPr>
          <w:rFonts w:ascii="Times New Roman" w:cs="Times New Roman" w:eastAsia="Times New Roman" w:hAnsi="Times New Roman"/>
          <w:color w:val="1F2937"/>
          <w:sz w:val="22"/>
          <w:szCs w:val="22"/>
        </w:rPr>
        <w:t xml:space="preserve">Réflexion finale : note une situation concrète de ton travail où la frontière pourrait être floue — et comment tu la tiendrais.</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2 — La séance éthique : pratiquer le consentement éclairé</w:t>
      </w:r>
    </w:p>
    <w:p>
      <w:pPr>
        <w:spacing w:after="120"/>
      </w:pPr>
      <w:r>
        <w:rPr>
          <w:rFonts w:ascii="Times New Roman" w:cs="Times New Roman" w:eastAsia="Times New Roman" w:hAnsi="Times New Roman"/>
          <w:color w:val="1F2937"/>
          <w:sz w:val="22"/>
          <w:szCs w:val="22"/>
        </w:rPr>
        <w:t xml:space="preserve">Objectif : intégrer par l'expérience ce que signifie obtenir un consentement éclairé sur une pratique d'induction.</w:t>
      </w:r>
    </w:p>
    <w:p>
      <w:pPr>
        <w:spacing w:after="120"/>
      </w:pPr>
      <w:r>
        <w:rPr>
          <w:rFonts w:ascii="Times New Roman" w:cs="Times New Roman" w:eastAsia="Times New Roman" w:hAnsi="Times New Roman"/>
          <w:color w:val="1F2937"/>
          <w:sz w:val="22"/>
          <w:szCs w:val="22"/>
        </w:rPr>
        <w:t xml:space="preserve">Durée : 20 minutes.</w:t>
      </w:r>
    </w:p>
    <w:p>
      <w:pPr>
        <w:spacing w:after="120"/>
      </w:pPr>
      <w:r>
        <w:rPr>
          <w:rFonts w:ascii="Times New Roman" w:cs="Times New Roman" w:eastAsia="Times New Roman" w:hAnsi="Times New Roman"/>
          <w:color w:val="1F2937"/>
          <w:sz w:val="22"/>
          <w:szCs w:val="22"/>
        </w:rPr>
        <w:t xml:space="preserve">Instructions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Imagine que tu proposes à un proche une séance de relaxation utilisant des éléments d'hypnose (pas de thérapie — juste une induction de détente).</w:t>
      </w:r>
    </w:p>
    <w:p>
      <w:pPr>
        <w:pStyle w:val="ListParagraph"/>
        <w:numPr>
          <w:ilvl w:val="0"/>
          <w:numId w:val="1"/>
        </w:numPr>
        <w:spacing w:after="80"/>
      </w:pPr>
      <w:r>
        <w:rPr>
          <w:rFonts w:ascii="Times New Roman" w:cs="Times New Roman" w:eastAsia="Times New Roman" w:hAnsi="Times New Roman"/>
          <w:color w:val="1F2937"/>
          <w:sz w:val="22"/>
          <w:szCs w:val="22"/>
        </w:rPr>
        <w:t xml:space="preserve">Écris d'abord ce que tu lui dirais pour expliquer la pratique : ce qu'est l'hypnose, ce qu'elle n'est pas, à quoi s'attendre, et ce que tu ne ferais pas.</w:t>
      </w:r>
    </w:p>
    <w:p>
      <w:pPr>
        <w:pStyle w:val="ListParagraph"/>
        <w:numPr>
          <w:ilvl w:val="0"/>
          <w:numId w:val="1"/>
        </w:numPr>
        <w:spacing w:after="80"/>
      </w:pPr>
      <w:r>
        <w:rPr>
          <w:rFonts w:ascii="Times New Roman" w:cs="Times New Roman" w:eastAsia="Times New Roman" w:hAnsi="Times New Roman"/>
          <w:color w:val="1F2937"/>
          <w:sz w:val="22"/>
          <w:szCs w:val="22"/>
        </w:rPr>
        <w:t xml:space="preserve">Inclus dans ton explication : (a) la description de l'état — ni sommeil ni perte de contrôle ; (b) les limites — pas de diagnostic, pas de traitement ; (c) la possibilité de sortir à tout moment ; (d) la question du consentement, formulée explicitement.</w:t>
      </w:r>
    </w:p>
    <w:p>
      <w:pPr>
        <w:pStyle w:val="ListParagraph"/>
        <w:numPr>
          <w:ilvl w:val="0"/>
          <w:numId w:val="1"/>
        </w:numPr>
        <w:spacing w:after="80"/>
      </w:pPr>
      <w:r>
        <w:rPr>
          <w:rFonts w:ascii="Times New Roman" w:cs="Times New Roman" w:eastAsia="Times New Roman" w:hAnsi="Times New Roman"/>
          <w:color w:val="1F2937"/>
          <w:sz w:val="22"/>
          <w:szCs w:val="22"/>
        </w:rPr>
        <w:t xml:space="preserve">Lis à voix haute ce que tu as écrit. Entends-tu quelque chose de confus, d'exagéré, ou de prometteur ? Corrige.</w:t>
      </w:r>
    </w:p>
    <w:p>
      <w:pPr>
        <w:spacing w:after="120"/>
      </w:pPr>
      <w:r>
        <w:rPr>
          <w:rFonts w:ascii="Times New Roman" w:cs="Times New Roman" w:eastAsia="Times New Roman" w:hAnsi="Times New Roman"/>
          <w:color w:val="1F2937"/>
          <w:sz w:val="22"/>
          <w:szCs w:val="22"/>
        </w:rPr>
        <w:t xml:space="preserve">Variante solo : enregistre-toi en train de formuler ce discours, réécoute, note ce qui sonne juste et ce qui sonne faux.</w:t>
      </w:r>
    </w:p>
    <w:p>
      <w:r>
        <w:t xml:space="preserve"/>
      </w:r>
    </w:p>
    <w:p>
      <w:pPr>
        <w:pStyle w:val="Heading3"/>
        <w:spacing w:after="80" w:before="240"/>
      </w:pPr>
      <w:r>
        <w:rPr>
          <w:rFonts w:ascii="Times New Roman" w:cs="Times New Roman" w:eastAsia="Times New Roman" w:hAnsi="Times New Roman"/>
          <w:b/>
          <w:bCs/>
          <w:color w:val="1F2937"/>
          <w:sz w:val="26"/>
          <w:szCs w:val="26"/>
        </w:rPr>
        <w:t xml:space="preserve">Exercice 3 — Journal éthique du parcours</w:t>
      </w:r>
    </w:p>
    <w:p>
      <w:pPr>
        <w:spacing w:after="120"/>
      </w:pPr>
      <w:r>
        <w:rPr>
          <w:rFonts w:ascii="Times New Roman" w:cs="Times New Roman" w:eastAsia="Times New Roman" w:hAnsi="Times New Roman"/>
          <w:color w:val="1F2937"/>
          <w:sz w:val="22"/>
          <w:szCs w:val="22"/>
        </w:rPr>
        <w:t xml:space="preserve">Objectif : prendre du recul sur l'ensemble du parcours à travers le prisme éthique.</w:t>
      </w:r>
    </w:p>
    <w:p>
      <w:pPr>
        <w:spacing w:after="120"/>
      </w:pPr>
      <w:r>
        <w:rPr>
          <w:rFonts w:ascii="Times New Roman" w:cs="Times New Roman" w:eastAsia="Times New Roman" w:hAnsi="Times New Roman"/>
          <w:color w:val="1F2937"/>
          <w:sz w:val="22"/>
          <w:szCs w:val="22"/>
        </w:rPr>
        <w:t xml:space="preserve">Durée : 20-25 minutes.</w:t>
      </w:r>
    </w:p>
    <w:p>
      <w:pPr>
        <w:spacing w:after="120"/>
      </w:pPr>
      <w:r>
        <w:rPr>
          <w:rFonts w:ascii="Times New Roman" w:cs="Times New Roman" w:eastAsia="Times New Roman" w:hAnsi="Times New Roman"/>
          <w:color w:val="1F2937"/>
          <w:sz w:val="22"/>
          <w:szCs w:val="22"/>
        </w:rPr>
        <w:t xml:space="preserve">Instructions — réponds par écrit à ces cinq questions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Quelle technique de ce parcours m'a semblé la plus puissante sur moi ? En quoi cela renforce-t-il l'importance du consentement ?</w:t>
      </w:r>
      <w:r>
        <w:rPr>
          <w:rFonts w:ascii="Times New Roman" w:cs="Times New Roman" w:eastAsia="Times New Roman" w:hAnsi="Times New Roman"/>
          <w:color w:val="1F2937"/>
          <w:sz w:val="22"/>
          <w:szCs w:val="22"/>
        </w:rPr>
        <w:t xml:space="preserve">1.</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Ai-je eu envie, à un moment, d'essayer une technique sur quelqu'un d'autre ? Qu'est-ce qui m'en a retenu — ou non ?</w:t>
      </w:r>
      <w:r>
        <w:rPr>
          <w:rFonts w:ascii="Times New Roman" w:cs="Times New Roman" w:eastAsia="Times New Roman" w:hAnsi="Times New Roman"/>
          <w:color w:val="1F2937"/>
          <w:sz w:val="22"/>
          <w:szCs w:val="22"/>
        </w:rPr>
        <w:t xml:space="preserve">2.</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Comment je décrirais l'hypnose à un collègue de travail, en une minute, de façon précise et honnête ?</w:t>
      </w:r>
      <w:r>
        <w:rPr>
          <w:rFonts w:ascii="Times New Roman" w:cs="Times New Roman" w:eastAsia="Times New Roman" w:hAnsi="Times New Roman"/>
          <w:color w:val="1F2937"/>
          <w:sz w:val="22"/>
          <w:szCs w:val="22"/>
        </w:rPr>
        <w:t xml:space="preserve">3.</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Qu'est-ce que je ne dirais pas à des familles de personnes accompagnées sur ce que l'hypnose peut faire ?</w:t>
      </w:r>
      <w:r>
        <w:rPr>
          <w:rFonts w:ascii="Times New Roman" w:cs="Times New Roman" w:eastAsia="Times New Roman" w:hAnsi="Times New Roman"/>
          <w:color w:val="1F2937"/>
          <w:sz w:val="22"/>
          <w:szCs w:val="22"/>
        </w:rPr>
        <w:t xml:space="preserve">4.</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Si une personne que j'accompagne me demandait « est-ce que l'hypnose pourrait m'aider ? », quelle serait ma réponse ?</w:t>
      </w:r>
      <w:r>
        <w:rPr>
          <w:rFonts w:ascii="Times New Roman" w:cs="Times New Roman" w:eastAsia="Times New Roman" w:hAnsi="Times New Roman"/>
          <w:color w:val="1F2937"/>
          <w:sz w:val="22"/>
          <w:szCs w:val="22"/>
        </w:rPr>
        <w:t xml:space="preserve">5.</w:t>
      </w:r>
    </w:p>
    <w:p>
      <w:pPr>
        <w:spacing w:after="120"/>
      </w:pPr>
      <w:r>
        <w:rPr>
          <w:rFonts w:ascii="Times New Roman" w:cs="Times New Roman" w:eastAsia="Times New Roman" w:hAnsi="Times New Roman"/>
          <w:color w:val="1F2937"/>
          <w:sz w:val="22"/>
          <w:szCs w:val="22"/>
        </w:rPr>
        <w:t xml:space="preserve">Ce journal prépare directement la leçon 20, qui sera le bilan du parcours.</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Challenge — Rédiger une charte personnelle d'usage de l'hypnose</w:t>
      </w:r>
    </w:p>
    <w:p>
      <w:pPr>
        <w:spacing w:after="120"/>
      </w:pPr>
      <w:r>
        <w:rPr>
          <w:rFonts w:ascii="Times New Roman" w:cs="Times New Roman" w:eastAsia="Times New Roman" w:hAnsi="Times New Roman"/>
          <w:color w:val="1F2937"/>
          <w:sz w:val="22"/>
          <w:szCs w:val="22"/>
        </w:rPr>
        <w:t xml:space="preserve">Durée : 30-40 minutes.</w:t>
      </w:r>
    </w:p>
    <w:p>
      <w:pPr>
        <w:spacing w:after="120"/>
      </w:pPr>
      <w:r>
        <w:rPr>
          <w:rFonts w:ascii="Times New Roman" w:cs="Times New Roman" w:eastAsia="Times New Roman" w:hAnsi="Times New Roman"/>
          <w:color w:val="1F2937"/>
          <w:sz w:val="22"/>
          <w:szCs w:val="22"/>
        </w:rPr>
        <w:t xml:space="preserve">Ce challenge mobilise toutes les dimensions de cette leçon.</w:t>
      </w:r>
    </w:p>
    <w:p>
      <w:pPr>
        <w:spacing w:after="120"/>
      </w:pPr>
      <w:r>
        <w:rPr>
          <w:rFonts w:ascii="Times New Roman" w:cs="Times New Roman" w:eastAsia="Times New Roman" w:hAnsi="Times New Roman"/>
          <w:color w:val="1F2937"/>
          <w:sz w:val="22"/>
          <w:szCs w:val="22"/>
        </w:rPr>
        <w:t xml:space="preserve">Rédige une charte personnelle d'une page, structurée en trois parties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les techniques, la fréquence, les objectifs personnels.</w:t>
      </w:r>
      <w:r>
        <w:rPr>
          <w:rFonts w:ascii="Times New Roman" w:cs="Times New Roman" w:eastAsia="Times New Roman" w:hAnsi="Times New Roman"/>
          <w:color w:val="1F2937"/>
          <w:sz w:val="22"/>
          <w:szCs w:val="22"/>
        </w:rPr>
        <w:t xml:space="preserve">Ce que je pratique pour moi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les limites légales et éthiques que je m'impose explicitement.</w:t>
      </w:r>
      <w:r>
        <w:rPr>
          <w:rFonts w:ascii="Times New Roman" w:cs="Times New Roman" w:eastAsia="Times New Roman" w:hAnsi="Times New Roman"/>
          <w:color w:val="1F2937"/>
          <w:sz w:val="22"/>
          <w:szCs w:val="22"/>
        </w:rPr>
        <w:t xml:space="preserve">Ce que je ne ferai pas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les formulations que j'utilise, celles que j'évite, et pourquoi.</w:t>
      </w:r>
      <w:r>
        <w:rPr>
          <w:rFonts w:ascii="Times New Roman" w:cs="Times New Roman" w:eastAsia="Times New Roman" w:hAnsi="Times New Roman"/>
          <w:color w:val="1F2937"/>
          <w:sz w:val="22"/>
          <w:szCs w:val="22"/>
        </w:rPr>
        <w:t xml:space="preserve">Comment je parle de l'hypnose :</w:t>
      </w:r>
    </w:p>
    <w:p>
      <w:pPr>
        <w:spacing w:after="120"/>
      </w:pPr>
      <w:r>
        <w:rPr>
          <w:rFonts w:ascii="Times New Roman" w:cs="Times New Roman" w:eastAsia="Times New Roman" w:hAnsi="Times New Roman"/>
          <w:color w:val="1F2937"/>
          <w:sz w:val="22"/>
          <w:szCs w:val="22"/>
        </w:rPr>
        <w:t xml:space="preserve">Critères d'une bonne charte : elle est réaliste (pas de promesses impossibles), honnête (elle nomme les limites), et opérationnelle (je peux m'y référer concrètement). Elle pourra servir de base à la synthèse de la leçon 20.</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Pont pro (chef de service en ESSMS)</w:t>
      </w:r>
    </w:p>
    <w:p>
      <w:pPr>
        <w:spacing w:after="120"/>
      </w:pPr>
      <w:r>
        <w:rPr>
          <w:rFonts w:ascii="Times New Roman" w:cs="Times New Roman" w:eastAsia="Times New Roman" w:hAnsi="Times New Roman"/>
          <w:color w:val="1F2937"/>
          <w:sz w:val="22"/>
          <w:szCs w:val="22"/>
        </w:rPr>
        <w:t xml:space="preserve">Dans un foyer d'hébergement pour adultes en situation de handicap, la question éthique autour de l'hypnose se pose rarement sous la forme d'une pratique clinique — mais elle se pose quand des professionnels, ayant suivi une formation personnelle, se demandent comment mobiliser ces outils dans leur travail.</w:t>
      </w:r>
    </w:p>
    <w:p>
      <w:pPr>
        <w:spacing w:after="120"/>
      </w:pPr>
      <w:r>
        <w:rPr>
          <w:rFonts w:ascii="Times New Roman" w:cs="Times New Roman" w:eastAsia="Times New Roman" w:hAnsi="Times New Roman"/>
          <w:color w:val="1F2937"/>
          <w:sz w:val="22"/>
          <w:szCs w:val="22"/>
        </w:rPr>
        <w:t xml:space="preserve">Trois repères pratiques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les techniques de régulation du stress de ce parcours (ancrage, respiration, imagerie) peuvent être proposées en formation d'équipe comme outils de gestion du stress professionnel — sans jamais les présenter comme thérapeutiques.</w:t>
      </w:r>
      <w:r>
        <w:rPr>
          <w:rFonts w:ascii="Times New Roman" w:cs="Times New Roman" w:eastAsia="Times New Roman" w:hAnsi="Times New Roman"/>
          <w:color w:val="1F2937"/>
          <w:sz w:val="22"/>
          <w:szCs w:val="22"/>
        </w:rPr>
        <w:t xml:space="preserve">L'auto-hypnose comme outil de QVT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dans un ESSMS, un intervenant qui se présente comme « hypnothérapeute » n'est pas un professionnel de santé. L'absence de réglementation du titre impose une vigilance renforcée sur les qualifications réelles.</w:t>
      </w:r>
      <w:r>
        <w:rPr>
          <w:rFonts w:ascii="Times New Roman" w:cs="Times New Roman" w:eastAsia="Times New Roman" w:hAnsi="Times New Roman"/>
          <w:color w:val="1F2937"/>
          <w:sz w:val="22"/>
          <w:szCs w:val="22"/>
        </w:rPr>
        <w:t xml:space="preserve">La vigilance sur les titres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 si une personne accompagnée exprime un intérêt pour l'hypnose, l'orientation vers un professionnel de santé qualifié (médecin, psychologue avec DU hypnose) est la seule voie éthiquement tenable dans le cadre du foyer.</w:t>
      </w:r>
      <w:r>
        <w:rPr>
          <w:rFonts w:ascii="Times New Roman" w:cs="Times New Roman" w:eastAsia="Times New Roman" w:hAnsi="Times New Roman"/>
          <w:color w:val="1F2937"/>
          <w:sz w:val="22"/>
          <w:szCs w:val="22"/>
        </w:rPr>
        <w:t xml:space="preserve">L'orientation reste le réflexe central :</w:t>
      </w:r>
    </w:p>
    <w:p>
      <w:pPr>
        <w:spacing w:after="120"/>
      </w:pPr>
      <w:r>
        <w:rPr>
          <w:rFonts w:ascii="Times New Roman" w:cs="Times New Roman" w:eastAsia="Times New Roman" w:hAnsi="Times New Roman"/>
          <w:color w:val="1F2937"/>
          <w:sz w:val="22"/>
          <w:szCs w:val="22"/>
        </w:rPr>
        <w:t xml:space="preserve">⚠️ Rappel : pratiquer l'hypnose sur des personnes accompagnées sans qualification spécifique et sans cadre professionnel adapté n'est pas une extension de l'auto-pratique — c'est un franchissement de frontière légal et éthique.</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Ressources</w:t>
      </w:r>
    </w:p>
    <w:p>
      <w:pPr>
        <w:spacing w:after="120"/>
      </w:pPr>
      <w:r>
        <w:rPr>
          <w:rFonts w:ascii="Times New Roman" w:cs="Times New Roman" w:eastAsia="Times New Roman" w:hAnsi="Times New Roman"/>
          <w:color w:val="1F2937"/>
          <w:sz w:val="22"/>
          <w:szCs w:val="22"/>
        </w:rPr>
        <w:t xml:space="preserve">1. </w:t>
      </w:r>
      <w:hyperlink w:history="1" r:id="rIdypxhjx-7iw1y42c6vtywt">
        <w:r>
          <w:rPr>
            <w:rFonts w:ascii="Times New Roman" w:cs="Times New Roman" w:eastAsia="Times New Roman" w:hAnsi="Times New Roman"/>
            <w:color w:val="1155CC"/>
            <w:sz w:val="22"/>
            <w:szCs w:val="22"/>
            <w:u w:val="single"/>
          </w:rPr>
          <w:t xml:space="preserve">Exercice illégal de la médecine en droit pénal français — Wikipédia</w:t>
        </w:r>
      </w:hyperlink>
      <w:r>
        <w:rPr>
          <w:rFonts w:ascii="Times New Roman" w:cs="Times New Roman" w:eastAsia="Times New Roman" w:hAnsi="Times New Roman"/>
          <w:color w:val="1F2937"/>
          <w:sz w:val="22"/>
          <w:szCs w:val="22"/>
        </w:rPr>
        <w:t xml:space="preserve"> — Texte des articles L4161-1 à L4161-6 du CSP, jurisprudence historique.</w:t>
      </w:r>
    </w:p>
    <w:p>
      <w:pPr>
        <w:spacing w:after="120"/>
      </w:pPr>
      <w:r>
        <w:rPr>
          <w:rFonts w:ascii="Times New Roman" w:cs="Times New Roman" w:eastAsia="Times New Roman" w:hAnsi="Times New Roman"/>
          <w:color w:val="1F2937"/>
          <w:sz w:val="22"/>
          <w:szCs w:val="22"/>
        </w:rPr>
        <w:t xml:space="preserve">2. </w:t>
      </w:r>
      <w:hyperlink w:history="1" r:id="rId470qrrm1djhn99m7y74th">
        <w:r>
          <w:rPr>
            <w:rFonts w:ascii="Times New Roman" w:cs="Times New Roman" w:eastAsia="Times New Roman" w:hAnsi="Times New Roman"/>
            <w:color w:val="1155CC"/>
            <w:sz w:val="22"/>
            <w:szCs w:val="22"/>
            <w:u w:val="single"/>
          </w:rPr>
          <w:t xml:space="preserve">IFHE Formations — Législation de l'Hypnose en France : ce que dit la loi</w:t>
        </w:r>
      </w:hyperlink>
      <w:r>
        <w:rPr>
          <w:rFonts w:ascii="Times New Roman" w:cs="Times New Roman" w:eastAsia="Times New Roman" w:hAnsi="Times New Roman"/>
          <w:color w:val="1F2937"/>
          <w:sz w:val="22"/>
          <w:szCs w:val="22"/>
        </w:rPr>
        <w:t xml:space="preserve"> — Synthèse praticienne sur le statut légal, la distinction médical/non-médical, les titres protégés.</w:t>
      </w:r>
    </w:p>
    <w:p>
      <w:pPr>
        <w:spacing w:after="120"/>
      </w:pPr>
      <w:r>
        <w:rPr>
          <w:rFonts w:ascii="Times New Roman" w:cs="Times New Roman" w:eastAsia="Times New Roman" w:hAnsi="Times New Roman"/>
          <w:color w:val="1F2937"/>
          <w:sz w:val="22"/>
          <w:szCs w:val="22"/>
        </w:rPr>
        <w:t xml:space="preserve">3. </w:t>
      </w:r>
      <w:hyperlink w:history="1" r:id="rIdsh8wfmrintkjl_ayjffbb">
        <w:r>
          <w:rPr>
            <w:rFonts w:ascii="Times New Roman" w:cs="Times New Roman" w:eastAsia="Times New Roman" w:hAnsi="Times New Roman"/>
            <w:color w:val="1155CC"/>
            <w:sz w:val="22"/>
            <w:szCs w:val="22"/>
            <w:u w:val="single"/>
          </w:rPr>
          <w:t xml:space="preserve">CNCDP — Code de déontologie des psychologues (2021)</w:t>
        </w:r>
      </w:hyperlink>
      <w:r>
        <w:rPr>
          <w:rFonts w:ascii="Times New Roman" w:cs="Times New Roman" w:eastAsia="Times New Roman" w:hAnsi="Times New Roman"/>
          <w:color w:val="1F2937"/>
          <w:sz w:val="22"/>
          <w:szCs w:val="22"/>
        </w:rPr>
        <w:t xml:space="preserve"> — Code de référence sur le consentement éclairé, la confidentialité et la protection des personnes vulnérables.</w:t>
      </w:r>
    </w:p>
    <w:p>
      <w:pPr>
        <w:spacing w:after="120"/>
      </w:pPr>
      <w:r>
        <w:rPr>
          <w:rFonts w:ascii="Times New Roman" w:cs="Times New Roman" w:eastAsia="Times New Roman" w:hAnsi="Times New Roman"/>
          <w:color w:val="1F2937"/>
          <w:sz w:val="22"/>
          <w:szCs w:val="22"/>
        </w:rPr>
        <w:t xml:space="preserve">4. </w:t>
      </w:r>
      <w:hyperlink w:history="1" r:id="rIdelocvs7p2jprelbiavio9">
        <w:r>
          <w:rPr>
            <w:rFonts w:ascii="Times New Roman" w:cs="Times New Roman" w:eastAsia="Times New Roman" w:hAnsi="Times New Roman"/>
            <w:color w:val="1155CC"/>
            <w:sz w:val="22"/>
            <w:szCs w:val="22"/>
            <w:u w:val="single"/>
          </w:rPr>
          <w:t xml:space="preserve">Transemission — Quelle reconnaissance pour le statut des professionnels de l'hypnose ?</w:t>
        </w:r>
      </w:hyperlink>
      <w:r>
        <w:rPr>
          <w:rFonts w:ascii="Times New Roman" w:cs="Times New Roman" w:eastAsia="Times New Roman" w:hAnsi="Times New Roman"/>
          <w:color w:val="1F2937"/>
          <w:sz w:val="22"/>
          <w:szCs w:val="22"/>
        </w:rPr>
        <w:t xml:space="preserve"> — Panorama du vide juridique et des tentatives de structuration professionnelle (article 2020).</w:t>
      </w:r>
    </w:p>
    <w:p>
      <w:pPr>
        <w:spacing w:after="120"/>
      </w:pPr>
      <w:r>
        <w:rPr>
          <w:rFonts w:ascii="Times New Roman" w:cs="Times New Roman" w:eastAsia="Times New Roman" w:hAnsi="Times New Roman"/>
          <w:color w:val="1F2937"/>
          <w:sz w:val="22"/>
          <w:szCs w:val="22"/>
        </w:rPr>
        <w:t xml:space="preserve">5. </w:t>
      </w:r>
      <w:hyperlink w:history="1" r:id="rIdran6jonru6apxapmx84i_">
        <w:r>
          <w:rPr>
            <w:rFonts w:ascii="Times New Roman" w:cs="Times New Roman" w:eastAsia="Times New Roman" w:hAnsi="Times New Roman"/>
            <w:color w:val="1155CC"/>
            <w:sz w:val="22"/>
            <w:szCs w:val="22"/>
            <w:u w:val="single"/>
          </w:rPr>
          <w:t xml:space="preserve">Al-Beltagi M. (2025) — Clinical hypnosis in pediatric care: An adjunctive tool or therapeutic illusion — World Journal of Experimental Medicine (PMC12767259)</w:t>
        </w:r>
      </w:hyperlink>
      <w:r>
        <w:rPr>
          <w:rFonts w:ascii="Times New Roman" w:cs="Times New Roman" w:eastAsia="Times New Roman" w:hAnsi="Times New Roman"/>
          <w:color w:val="1F2937"/>
          <w:sz w:val="22"/>
          <w:szCs w:val="22"/>
        </w:rPr>
        <w:t xml:space="preserve"> — Revue des conditions d'usage éthique de l'hypnose clinique, avec discussion des limites et des protocoles de consentement.</w:t>
      </w:r>
    </w:p>
    <w:p>
      <w:r>
        <w:t xml:space="preserve"/>
      </w: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20 / 20 — BILAN : Synthèse du parcours, construire sa propre pratique d'auto-hypnose, et savoir où s'arrête l'usage personnel.</w:t>
      </w:r>
    </w:p>
    <w:p>
      <w:pPr>
        <w:spacing w:after="120"/>
      </w:pPr>
      <w:r>
        <w:rPr>
          <w:rFonts w:ascii="Times New Roman" w:cs="Times New Roman" w:eastAsia="Times New Roman" w:hAnsi="Times New Roman"/>
          <w:color w:val="1F2937"/>
          <w:sz w:val="22"/>
          <w:szCs w:val="22"/>
        </w:rPr>
        <w:t xml:space="preserve">La dernière leçon clôt le parcours. Elle mettra les 19 leçons en relation, signalera ce qui n'a pas pu être traité, proposera des pistes d'approfondissement autonome, et t'invitera à formuler ta propre pratique d'auto-hypnose pérenne.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pxhjx-7iw1y42c6vtywt" Type="http://schemas.openxmlformats.org/officeDocument/2006/relationships/hyperlink" Target="https://fr.wikipedia.org/wiki/Exercice_ill%C3%A9gal_de_la_m%C3%A9decine_en_droit_p%C3%A9nal_fran%C3%A7ais" TargetMode="External"/><Relationship Id="rId470qrrm1djhn99m7y74th" Type="http://schemas.openxmlformats.org/officeDocument/2006/relationships/hyperlink" Target="https://ifhe-formations.com/quelle-est-la-legislation-sur-la-pratique-de-lhypnose" TargetMode="External"/><Relationship Id="rIdsh8wfmrintkjl_ayjffbb" Type="http://schemas.openxmlformats.org/officeDocument/2006/relationships/hyperlink" Target="https://www.cncdp.fr/index.php/code-de-deontologie/code-de-deontologie-2021" TargetMode="External"/><Relationship Id="rIdelocvs7p2jprelbiavio9" Type="http://schemas.openxmlformats.org/officeDocument/2006/relationships/hyperlink" Target="https://transemission.com/hypnose-reconnaissance-satut-professionnel/" TargetMode="External"/><Relationship Id="rIdran6jonru6apxapmx84i_" Type="http://schemas.openxmlformats.org/officeDocument/2006/relationships/hyperlink" Target="https://www.ncbi.nlm.nih.gov/pmc/articles/PMC12767259/"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2026-10-20T18:27:40.782Z</dcterms:created>
  <dcterms:modified xsi:type="dcterms:W3CDTF">2026-10-20T18:27:40.784Z</dcterms:modified>
</cp:coreProperties>
</file>

<file path=docProps/custom.xml><?xml version="1.0" encoding="utf-8"?>
<Properties xmlns="http://schemas.openxmlformats.org/officeDocument/2006/custom-properties" xmlns:vt="http://schemas.openxmlformats.org/officeDocument/2006/docPropsVTypes"/>
</file>