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00" w:before="200"/>
        <w:jc w:val="center"/>
      </w:pPr>
      <w:r>
        <w:rPr>
          <w:rFonts w:ascii="Times New Roman" w:cs="Times New Roman" w:eastAsia="Times New Roman" w:hAnsi="Times New Roman"/>
          <w:b/>
          <w:bCs/>
          <w:color w:val="1B3A6B"/>
          <w:sz w:val="52"/>
          <w:szCs w:val="52"/>
        </w:rPr>
        <w:t xml:space="preserve">Leçon Psychopathologie clinique n°12</w:t>
      </w:r>
    </w:p>
    <w:p>
      <w:pPr>
        <w:spacing w:after="120" w:before="60"/>
        <w:jc w:val="center"/>
      </w:pPr>
      <w:r>
        <w:rPr>
          <w:rFonts w:ascii="Times New Roman" w:cs="Times New Roman" w:eastAsia="Times New Roman" w:hAnsi="Times New Roman"/>
          <w:b/>
          <w:bCs/>
          <w:color w:val="1B3A6B"/>
          <w:sz w:val="36"/>
          <w:szCs w:val="36"/>
        </w:rPr>
        <w:t xml:space="preserve">Psychotraumatisme, TSPT et trouble dissociatif</w:t>
      </w:r>
    </w:p>
    <w:p>
      <w:pPr>
        <w:spacing w:after="60" w:before="0"/>
        <w:jc w:val="center"/>
      </w:pPr>
      <w:r>
        <w:rPr>
          <w:rFonts w:ascii="Times New Roman" w:cs="Times New Roman" w:eastAsia="Times New Roman" w:hAnsi="Times New Roman"/>
          <w:color w:val="6B7280"/>
          <w:sz w:val="20"/>
          <w:szCs w:val="20"/>
        </w:rPr>
        <w:t xml:space="preserve">Date : 24 août 2026  •  Leçon 12 / 20</w:t>
      </w:r>
    </w:p>
    <w:p>
      <w:pPr>
        <w:spacing w:after="200" w:before="0"/>
        <w:jc w:val="center"/>
      </w:pPr>
      <w:r>
        <w:rPr>
          <w:rFonts w:ascii="Times New Roman" w:cs="Times New Roman" w:eastAsia="Times New Roman" w:hAnsi="Times New Roman"/>
          <w:i/>
          <w:iCs/>
          <w:color w:val="6B7280"/>
          <w:sz w:val="20"/>
          <w:szCs w:val="20"/>
        </w:rPr>
        <w:t xml:space="preserve">Parcours Psychopathologie clinique — Du fondamental à l'avancé</w:t>
      </w:r>
    </w:p>
    <w:p>
      <w:pPr>
        <w:spacing w:after="160" w:before="160"/>
      </w:pPr>
      <w:r>
        <w:rPr>
          <w:rFonts w:ascii="Times New Roman" w:cs="Times New Roman" w:eastAsia="Times New Roman" w:hAnsi="Times New Roman"/>
          <w:color w:val="CCCCCC"/>
          <w:sz w:val="18"/>
          <w:szCs w:val="18"/>
        </w:rPr>
        <w:t xml:space="preserve">─────────────────────────────────────────</w:t>
      </w:r>
    </w:p>
    <w:p>
      <w:pPr>
        <w:pStyle w:val="Heading2"/>
        <w:spacing w:after="120" w:before="300"/>
      </w:pPr>
      <w:r>
        <w:rPr>
          <w:rFonts w:ascii="Times New Roman" w:cs="Times New Roman" w:eastAsia="Times New Roman" w:hAnsi="Times New Roman"/>
          <w:b/>
          <w:bCs/>
          <w:color w:val="1B3A6B"/>
          <w:sz w:val="30"/>
          <w:szCs w:val="30"/>
        </w:rPr>
        <w:t xml:space="preserve">⚠️ Cadre déontologique — rappel de posture</w:t>
      </w:r>
    </w:p>
    <w:p>
      <w:pPr>
        <w:spacing w:after="80" w:before="80"/>
        <w:ind w:left="576"/>
      </w:pPr>
      <w:r>
        <w:rPr>
          <w:rFonts w:ascii="Times New Roman" w:cs="Times New Roman" w:eastAsia="Times New Roman" w:hAnsi="Times New Roman"/>
          <w:i/>
          <w:iCs/>
          <w:color w:val="1B3A6B"/>
          <w:sz w:val="22"/>
          <w:szCs w:val="22"/>
        </w:rPr>
        <w:t xml:space="preserve">Ces leçons visent à COMPRENDRE la psychopathologie pour mieux observer, accompagner et orienter les personnes — en aucun cas à poser un diagnostic, acte réservé aux médecins psychiatres et psychologues cliniciens. L'approche privilégie une posture non stigmatisante, centrée sur la personne et le rétablissement.</w:t>
      </w:r>
    </w:p>
    <w:p>
      <w:pPr>
        <w:spacing w:after="80" w:before="80"/>
        <w:ind/>
      </w:pPr>
      <w:r>
        <w:rPr>
          <w:rFonts w:ascii="Times New Roman" w:cs="Times New Roman" w:eastAsia="Times New Roman" w:hAnsi="Times New Roman"/>
          <w:b w:val="false"/>
          <w:bCs w:val="false"/>
          <w:i w:val="false"/>
          <w:iCs w:val="false"/>
          <w:color w:val="1F2937"/>
          <w:sz w:val="22"/>
          <w:szCs w:val="22"/>
        </w:rPr>
        <w:t xml:space="preserve">Le psychotraumatisme est un domaine particulièrement sensible : les personnes accompagnées peuvent avoir vécu des traumatismes graves. Cette leçon renforce la capacité à repérer des signes, pas à « diagnostiquer un TSPT ». Toute suspicion de trauma non repéré doit être orientée vers un professionnel de santé habilité.</w:t>
      </w:r>
    </w:p>
    <w:p>
      <w:pPr>
        <w:spacing w:after="160" w:before="160"/>
      </w:pPr>
      <w:r>
        <w:rPr>
          <w:rFonts w:ascii="Times New Roman" w:cs="Times New Roman" w:eastAsia="Times New Roman" w:hAnsi="Times New Roman"/>
          <w:color w:val="CCCCCC"/>
          <w:sz w:val="18"/>
          <w:szCs w:val="18"/>
        </w:rPr>
        <w:t xml:space="preserve">─────────────────────────────────────────</w:t>
      </w:r>
    </w:p>
    <w:p>
      <w:pPr>
        <w:pStyle w:val="Heading2"/>
        <w:spacing w:after="120" w:before="300"/>
      </w:pPr>
      <w:r>
        <w:rPr>
          <w:rFonts w:ascii="Times New Roman" w:cs="Times New Roman" w:eastAsia="Times New Roman" w:hAnsi="Times New Roman"/>
          <w:b/>
          <w:bCs/>
          <w:color w:val="1B3A6B"/>
          <w:sz w:val="30"/>
          <w:szCs w:val="30"/>
        </w:rPr>
        <w:t xml:space="preserve">🎯 Objectif &amp; continuité</w:t>
      </w:r>
    </w:p>
    <w:p>
      <w:pPr>
        <w:spacing w:after="80" w:before="80"/>
        <w:ind/>
      </w:pPr>
      <w:r>
        <w:rPr>
          <w:rFonts w:ascii="Times New Roman" w:cs="Times New Roman" w:eastAsia="Times New Roman" w:hAnsi="Times New Roman"/>
          <w:b w:val="false"/>
          <w:bCs w:val="false"/>
          <w:i w:val="false"/>
          <w:iCs w:val="false"/>
          <w:color w:val="1F2937"/>
          <w:sz w:val="22"/>
          <w:szCs w:val="22"/>
        </w:rPr>
        <w:t xml:space="preserve">À la fin de cette leçon, vous serez capable de :</w:t>
      </w:r>
    </w:p>
    <w:p>
      <w:pPr>
        <w:pStyle w:val="ListParagraph"/>
        <w:numPr>
          <w:ilvl w:val="0"/>
          <w:numId w:val="1"/>
        </w:numPr>
        <w:spacing w:after="60" w:before="60"/>
        <w:ind w:left="576"/>
      </w:pPr>
      <w:r>
        <w:rPr>
          <w:rFonts w:ascii="Times New Roman" w:cs="Times New Roman" w:eastAsia="Times New Roman" w:hAnsi="Times New Roman"/>
          <w:color w:val="1F2937"/>
          <w:sz w:val="22"/>
          <w:szCs w:val="22"/>
        </w:rPr>
        <w:t xml:space="preserve">Distinguer le psychotraumatisme simple, le TSPT, le TSPT complexe (C-PTSD) et les troubles dissociatifs associés.</w:t>
      </w:r>
    </w:p>
    <w:p>
      <w:pPr>
        <w:pStyle w:val="ListParagraph"/>
        <w:numPr>
          <w:ilvl w:val="0"/>
          <w:numId w:val="1"/>
        </w:numPr>
        <w:spacing w:after="60" w:before="60"/>
        <w:ind w:left="576"/>
      </w:pPr>
      <w:r>
        <w:rPr>
          <w:rFonts w:ascii="Times New Roman" w:cs="Times New Roman" w:eastAsia="Times New Roman" w:hAnsi="Times New Roman"/>
          <w:color w:val="1F2937"/>
          <w:sz w:val="22"/>
          <w:szCs w:val="22"/>
        </w:rPr>
        <w:t xml:space="preserve">Identifier les quatre clusters symptomatiques du DSM-5 et la distinction TSPT / TSPT complexe selon la CIM-11.</w:t>
      </w:r>
    </w:p>
    <w:p>
      <w:pPr>
        <w:pStyle w:val="ListParagraph"/>
        <w:numPr>
          <w:ilvl w:val="0"/>
          <w:numId w:val="1"/>
        </w:numPr>
        <w:spacing w:after="60" w:before="60"/>
        <w:ind w:left="576"/>
      </w:pPr>
      <w:r>
        <w:rPr>
          <w:rFonts w:ascii="Times New Roman" w:cs="Times New Roman" w:eastAsia="Times New Roman" w:hAnsi="Times New Roman"/>
          <w:color w:val="1F2937"/>
          <w:sz w:val="22"/>
          <w:szCs w:val="22"/>
        </w:rPr>
        <w:t xml:space="preserve">Reconnaître les mécanismes dissociatifs (dépersonnalisation, déréalisation, amnésie) et leur lien avec le trauma.</w:t>
      </w:r>
    </w:p>
    <w:p>
      <w:pPr>
        <w:pStyle w:val="ListParagraph"/>
        <w:numPr>
          <w:ilvl w:val="0"/>
          <w:numId w:val="1"/>
        </w:numPr>
        <w:spacing w:after="60" w:before="60"/>
        <w:ind w:left="576"/>
      </w:pPr>
      <w:r>
        <w:rPr>
          <w:rFonts w:ascii="Times New Roman" w:cs="Times New Roman" w:eastAsia="Times New Roman" w:hAnsi="Times New Roman"/>
          <w:color w:val="1F2937"/>
          <w:sz w:val="22"/>
          <w:szCs w:val="22"/>
        </w:rPr>
        <w:t xml:space="preserve">Connaître les grandes approches thérapeutiques basées sur les preuves (EMDR, TCC centrée trauma, approche par phases).</w:t>
      </w:r>
    </w:p>
    <w:p>
      <w:pPr>
        <w:spacing w:after="80" w:before="80"/>
        <w:ind/>
      </w:pPr>
      <w:r>
        <w:rPr>
          <w:rFonts w:ascii="Times New Roman" w:cs="Times New Roman" w:eastAsia="Times New Roman" w:hAnsi="Times New Roman"/>
          <w:b w:val="false"/>
          <w:bCs w:val="false"/>
          <w:i w:val="false"/>
          <w:iCs w:val="false"/>
          <w:color w:val="1F2937"/>
          <w:sz w:val="22"/>
          <w:szCs w:val="22"/>
        </w:rPr>
        <w:t xml:space="preserve"/>
      </w:r>
    </w:p>
    <w:p>
      <w:pPr>
        <w:spacing w:after="80" w:before="80"/>
        <w:ind/>
      </w:pPr>
      <w:r>
        <w:rPr>
          <w:rFonts w:ascii="Times New Roman" w:cs="Times New Roman" w:eastAsia="Times New Roman" w:hAnsi="Times New Roman"/>
          <w:b w:val="false"/>
          <w:bCs w:val="false"/>
          <w:i w:val="false"/>
          <w:iCs w:val="false"/>
          <w:color w:val="1F2937"/>
          <w:sz w:val="22"/>
          <w:szCs w:val="22"/>
        </w:rPr>
        <w:t xml:space="preserve">Lien avec la leçon précédente (n°11 — Addictions et troubles liés à l'usage de substances) : les conduites addictives sont fréquemment associées au psychotraumatisme, dont elles constituent souvent une tentative d'autotraitement. La comorbidité TSPT / trouble addictif est une réalité clinique majeure que cette leçon permet d'éclairer sous un autre angle.</w:t>
      </w:r>
    </w:p>
    <w:p>
      <w:pPr>
        <w:spacing w:after="160" w:before="160"/>
      </w:pPr>
      <w:r>
        <w:rPr>
          <w:rFonts w:ascii="Times New Roman" w:cs="Times New Roman" w:eastAsia="Times New Roman" w:hAnsi="Times New Roman"/>
          <w:color w:val="CCCCCC"/>
          <w:sz w:val="18"/>
          <w:szCs w:val="18"/>
        </w:rPr>
        <w:t xml:space="preserve">─────────────────────────────────────────</w:t>
      </w:r>
    </w:p>
    <w:p>
      <w:pPr>
        <w:pStyle w:val="Heading2"/>
        <w:spacing w:after="120" w:before="300"/>
      </w:pPr>
      <w:r>
        <w:rPr>
          <w:rFonts w:ascii="Times New Roman" w:cs="Times New Roman" w:eastAsia="Times New Roman" w:hAnsi="Times New Roman"/>
          <w:b/>
          <w:bCs/>
          <w:color w:val="1B3A6B"/>
          <w:sz w:val="30"/>
          <w:szCs w:val="30"/>
        </w:rPr>
        <w:t xml:space="preserve">🔬 Théorie (20%) — Psychotraumatisme, TSPT et trouble dissociatif</w:t>
      </w:r>
    </w:p>
    <w:p>
      <w:pPr>
        <w:pStyle w:val="Heading3"/>
        <w:spacing w:after="80" w:before="200"/>
      </w:pPr>
      <w:r>
        <w:rPr>
          <w:rFonts w:ascii="Times New Roman" w:cs="Times New Roman" w:eastAsia="Times New Roman" w:hAnsi="Times New Roman"/>
          <w:b/>
          <w:bCs/>
          <w:color w:val="1F2937"/>
          <w:sz w:val="26"/>
          <w:szCs w:val="26"/>
        </w:rPr>
        <w:t xml:space="preserve">1. Du trauma à la réaction traumatique : concepts fondamentaux</w:t>
      </w:r>
    </w:p>
    <w:p>
      <w:pPr>
        <w:spacing w:after="80" w:before="80"/>
        <w:ind/>
      </w:pPr>
      <w:r>
        <w:rPr>
          <w:rFonts w:ascii="Times New Roman" w:cs="Times New Roman" w:eastAsia="Times New Roman" w:hAnsi="Times New Roman"/>
          <w:b w:val="false"/>
          <w:bCs w:val="false"/>
          <w:i w:val="false"/>
          <w:iCs w:val="false"/>
          <w:color w:val="1F2937"/>
          <w:sz w:val="22"/>
          <w:szCs w:val="22"/>
        </w:rPr>
        <w:t xml:space="preserve">Un événement traumatique est défini, selon le DSM-5 (critère A), comme une exposition à une mort réelle ou menacée, une blessure grave, ou une violence sexuelle — vécue directement, comme témoin, par l'apprentissage de l'événement chez un proche, ou par exposition répétée à des détails aversifs (ex. : professionnels du secours).</w:t>
      </w:r>
    </w:p>
    <w:p>
      <w:pPr>
        <w:spacing w:after="80" w:before="80"/>
        <w:ind/>
      </w:pPr>
      <w:r>
        <w:rPr>
          <w:rFonts w:ascii="Times New Roman" w:cs="Times New Roman" w:eastAsia="Times New Roman" w:hAnsi="Times New Roman"/>
          <w:b w:val="false"/>
          <w:bCs w:val="false"/>
          <w:i w:val="false"/>
          <w:iCs w:val="false"/>
          <w:color w:val="1F2937"/>
          <w:sz w:val="22"/>
          <w:szCs w:val="22"/>
        </w:rPr>
        <w:t xml:space="preserve">Le trauma n'est pas dans l'événement lui-même, mais dans ce que le système nerveux fait de l'événement. Deux personnes exposées au même fait peuvent réagir très différemment selon leurs ressources, leur histoire, le contexte social et le soutien disponible.</w:t>
      </w:r>
    </w:p>
    <w:p>
      <w:pPr>
        <w:spacing w:after="80" w:before="80"/>
        <w:ind/>
      </w:pPr>
      <w:r>
        <w:rPr>
          <w:rFonts w:ascii="Times New Roman" w:cs="Times New Roman" w:eastAsia="Times New Roman" w:hAnsi="Times New Roman"/>
          <w:b w:val="false"/>
          <w:bCs w:val="false"/>
          <w:i w:val="false"/>
          <w:iCs w:val="false"/>
          <w:color w:val="1F2937"/>
          <w:sz w:val="22"/>
          <w:szCs w:val="22"/>
        </w:rPr>
        <w:t xml:space="preserve">On distingue plusieurs types de réactions post-traumatiques :</w:t>
      </w:r>
    </w:p>
    <w:p>
      <w:pPr>
        <w:pStyle w:val="ListParagraph"/>
        <w:numPr>
          <w:ilvl w:val="0"/>
          <w:numId w:val="1"/>
        </w:numPr>
        <w:spacing w:after="60" w:before="60"/>
        <w:ind w:left="576"/>
      </w:pPr>
      <w:r>
        <w:rPr>
          <w:rFonts w:ascii="Times New Roman" w:cs="Times New Roman" w:eastAsia="Times New Roman" w:hAnsi="Times New Roman"/>
          <w:color w:val="1F2937"/>
          <w:sz w:val="22"/>
          <w:szCs w:val="22"/>
        </w:rPr>
        <w:t xml:space="preserve">L'état de stress aigu (ESA) : réaction intense survenant dans les 3 jours à 4 semaines après le trauma.</w:t>
      </w:r>
    </w:p>
    <w:p>
      <w:pPr>
        <w:pStyle w:val="ListParagraph"/>
        <w:numPr>
          <w:ilvl w:val="0"/>
          <w:numId w:val="1"/>
        </w:numPr>
        <w:spacing w:after="60" w:before="60"/>
        <w:ind w:left="576"/>
      </w:pPr>
      <w:r>
        <w:rPr>
          <w:rFonts w:ascii="Times New Roman" w:cs="Times New Roman" w:eastAsia="Times New Roman" w:hAnsi="Times New Roman"/>
          <w:color w:val="1F2937"/>
          <w:sz w:val="22"/>
          <w:szCs w:val="22"/>
        </w:rPr>
        <w:t xml:space="preserve">Le trouble de stress post-traumatique (TSPT / ESPT / PTSD) : persistant au-delà d'un mois.</w:t>
      </w:r>
    </w:p>
    <w:p>
      <w:pPr>
        <w:pStyle w:val="ListParagraph"/>
        <w:numPr>
          <w:ilvl w:val="0"/>
          <w:numId w:val="1"/>
        </w:numPr>
        <w:spacing w:after="60" w:before="60"/>
        <w:ind w:left="576"/>
      </w:pPr>
      <w:r>
        <w:rPr>
          <w:rFonts w:ascii="Times New Roman" w:cs="Times New Roman" w:eastAsia="Times New Roman" w:hAnsi="Times New Roman"/>
          <w:color w:val="1F2937"/>
          <w:sz w:val="22"/>
          <w:szCs w:val="22"/>
        </w:rPr>
        <w:t xml:space="preserve">Le TSPT complexe (C-PTSD) : reconnu par la CIM-11 après expositions répétées, prolongées, interpersonnelles.</w:t>
      </w:r>
    </w:p>
    <w:p>
      <w:pPr>
        <w:pStyle w:val="ListParagraph"/>
        <w:numPr>
          <w:ilvl w:val="0"/>
          <w:numId w:val="1"/>
        </w:numPr>
        <w:spacing w:after="60" w:before="60"/>
        <w:ind w:left="576"/>
      </w:pPr>
      <w:r>
        <w:rPr>
          <w:rFonts w:ascii="Times New Roman" w:cs="Times New Roman" w:eastAsia="Times New Roman" w:hAnsi="Times New Roman"/>
          <w:color w:val="1F2937"/>
          <w:sz w:val="22"/>
          <w:szCs w:val="22"/>
        </w:rPr>
        <w:t xml:space="preserve">Les troubles dissociatifs : pouvant exister indépendamment ou en comorbidité avec le TSPT.</w:t>
      </w:r>
    </w:p>
    <w:p>
      <w:pPr>
        <w:pStyle w:val="Heading3"/>
        <w:spacing w:after="80" w:before="200"/>
      </w:pPr>
      <w:r>
        <w:rPr>
          <w:rFonts w:ascii="Times New Roman" w:cs="Times New Roman" w:eastAsia="Times New Roman" w:hAnsi="Times New Roman"/>
          <w:b/>
          <w:bCs/>
          <w:color w:val="1F2937"/>
          <w:sz w:val="26"/>
          <w:szCs w:val="26"/>
        </w:rPr>
        <w:t xml:space="preserve">2. Le TSPT : quatre clusters selon le DSM-5</w:t>
      </w:r>
    </w:p>
    <w:p>
      <w:pPr>
        <w:spacing w:after="80" w:before="80"/>
        <w:ind/>
      </w:pPr>
      <w:r>
        <w:rPr>
          <w:rFonts w:ascii="Times New Roman" w:cs="Times New Roman" w:eastAsia="Times New Roman" w:hAnsi="Times New Roman"/>
          <w:b w:val="false"/>
          <w:bCs w:val="false"/>
          <w:i w:val="false"/>
          <w:iCs w:val="false"/>
          <w:color w:val="1F2937"/>
          <w:sz w:val="22"/>
          <w:szCs w:val="22"/>
        </w:rPr>
        <w:t xml:space="preserve">Le DSM-5 organise les 20 symptômes du TSPT en quatre clusters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1B3A6B" w:val="clear"/>
          </w:tcPr>
          <w:p>
            <w:r>
              <w:rPr>
                <w:rFonts w:ascii="Times New Roman" w:cs="Times New Roman" w:eastAsia="Times New Roman" w:hAnsi="Times New Roman"/>
                <w:b/>
                <w:bCs/>
                <w:color w:val="FFFFFF"/>
                <w:sz w:val="20"/>
                <w:szCs w:val="20"/>
              </w:rPr>
              <w:t xml:space="preserve">Cluster</w:t>
            </w:r>
          </w:p>
        </w:tc>
        <w:tc>
          <w:tcPr>
            <w:shd w:fill="1B3A6B" w:val="clear"/>
          </w:tcPr>
          <w:p>
            <w:r>
              <w:rPr>
                <w:rFonts w:ascii="Times New Roman" w:cs="Times New Roman" w:eastAsia="Times New Roman" w:hAnsi="Times New Roman"/>
                <w:b/>
                <w:bCs/>
                <w:color w:val="FFFFFF"/>
                <w:sz w:val="20"/>
                <w:szCs w:val="20"/>
              </w:rPr>
              <w:t xml:space="preserve">Libellé</w:t>
            </w:r>
          </w:p>
        </w:tc>
        <w:tc>
          <w:tcPr>
            <w:shd w:fill="1B3A6B" w:val="clear"/>
          </w:tcPr>
          <w:p>
            <w:r>
              <w:rPr>
                <w:rFonts w:ascii="Times New Roman" w:cs="Times New Roman" w:eastAsia="Times New Roman" w:hAnsi="Times New Roman"/>
                <w:b/>
                <w:bCs/>
                <w:color w:val="FFFFFF"/>
                <w:sz w:val="20"/>
                <w:szCs w:val="20"/>
              </w:rPr>
              <w:t xml:space="preserve">Exemples de symptômes</w:t>
            </w:r>
          </w:p>
        </w:tc>
      </w:tr>
      <w:tr>
        <w:tc>
          <w:tcPr>
            <w:shd w:fill="EEF2F7" w:val="clear"/>
          </w:tcPr>
          <w:p>
            <w:r>
              <w:rPr>
                <w:rFonts w:ascii="Times New Roman" w:cs="Times New Roman" w:eastAsia="Times New Roman" w:hAnsi="Times New Roman"/>
                <w:color w:val="1F2937"/>
                <w:sz w:val="20"/>
                <w:szCs w:val="20"/>
              </w:rPr>
              <w:t xml:space="preserve">Critère B</w:t>
            </w:r>
          </w:p>
        </w:tc>
        <w:tc>
          <w:tcPr>
            <w:shd w:fill="EEF2F7" w:val="clear"/>
          </w:tcPr>
          <w:p>
            <w:r>
              <w:rPr>
                <w:rFonts w:ascii="Times New Roman" w:cs="Times New Roman" w:eastAsia="Times New Roman" w:hAnsi="Times New Roman"/>
                <w:color w:val="1F2937"/>
                <w:sz w:val="20"/>
                <w:szCs w:val="20"/>
              </w:rPr>
              <w:t xml:space="preserve">Intrusion</w:t>
            </w:r>
          </w:p>
        </w:tc>
        <w:tc>
          <w:tcPr>
            <w:shd w:fill="EEF2F7" w:val="clear"/>
          </w:tcPr>
          <w:p>
            <w:r>
              <w:rPr>
                <w:rFonts w:ascii="Times New Roman" w:cs="Times New Roman" w:eastAsia="Times New Roman" w:hAnsi="Times New Roman"/>
                <w:color w:val="1F2937"/>
                <w:sz w:val="20"/>
                <w:szCs w:val="20"/>
              </w:rPr>
              <w:t xml:space="preserve">Souvenirs intrusifs répétitifs, cauchemars, flashbacks, détresse au rappel, réactivité physiologique</w:t>
            </w:r>
          </w:p>
        </w:tc>
      </w:tr>
      <w:tr>
        <w:tc>
          <w:tcPr>
            <w:shd w:fill="FFFFFF" w:val="clear"/>
          </w:tcPr>
          <w:p>
            <w:r>
              <w:rPr>
                <w:rFonts w:ascii="Times New Roman" w:cs="Times New Roman" w:eastAsia="Times New Roman" w:hAnsi="Times New Roman"/>
                <w:color w:val="1F2937"/>
                <w:sz w:val="20"/>
                <w:szCs w:val="20"/>
              </w:rPr>
              <w:t xml:space="preserve">Critère C</w:t>
            </w:r>
          </w:p>
        </w:tc>
        <w:tc>
          <w:tcPr>
            <w:shd w:fill="FFFFFF" w:val="clear"/>
          </w:tcPr>
          <w:p>
            <w:r>
              <w:rPr>
                <w:rFonts w:ascii="Times New Roman" w:cs="Times New Roman" w:eastAsia="Times New Roman" w:hAnsi="Times New Roman"/>
                <w:color w:val="1F2937"/>
                <w:sz w:val="20"/>
                <w:szCs w:val="20"/>
              </w:rPr>
              <w:t xml:space="preserve">Évitement</w:t>
            </w:r>
          </w:p>
        </w:tc>
        <w:tc>
          <w:tcPr>
            <w:shd w:fill="FFFFFF" w:val="clear"/>
          </w:tcPr>
          <w:p>
            <w:r>
              <w:rPr>
                <w:rFonts w:ascii="Times New Roman" w:cs="Times New Roman" w:eastAsia="Times New Roman" w:hAnsi="Times New Roman"/>
                <w:color w:val="1F2937"/>
                <w:sz w:val="20"/>
                <w:szCs w:val="20"/>
              </w:rPr>
              <w:t xml:space="preserve">Évitement des pensées/émotions liées au trauma, évitement des personnes/lieux/situations rappelant le trauma</w:t>
            </w:r>
          </w:p>
        </w:tc>
      </w:tr>
      <w:tr>
        <w:tc>
          <w:tcPr>
            <w:shd w:fill="EEF2F7" w:val="clear"/>
          </w:tcPr>
          <w:p>
            <w:r>
              <w:rPr>
                <w:rFonts w:ascii="Times New Roman" w:cs="Times New Roman" w:eastAsia="Times New Roman" w:hAnsi="Times New Roman"/>
                <w:color w:val="1F2937"/>
                <w:sz w:val="20"/>
                <w:szCs w:val="20"/>
              </w:rPr>
              <w:t xml:space="preserve">Critère D</w:t>
            </w:r>
          </w:p>
        </w:tc>
        <w:tc>
          <w:tcPr>
            <w:shd w:fill="EEF2F7" w:val="clear"/>
          </w:tcPr>
          <w:p>
            <w:r>
              <w:rPr>
                <w:rFonts w:ascii="Times New Roman" w:cs="Times New Roman" w:eastAsia="Times New Roman" w:hAnsi="Times New Roman"/>
                <w:color w:val="1F2937"/>
                <w:sz w:val="20"/>
                <w:szCs w:val="20"/>
              </w:rPr>
              <w:t xml:space="preserve">Cognitions &amp; humeur négatives</w:t>
            </w:r>
          </w:p>
        </w:tc>
        <w:tc>
          <w:tcPr>
            <w:shd w:fill="EEF2F7" w:val="clear"/>
          </w:tcPr>
          <w:p>
            <w:r>
              <w:rPr>
                <w:rFonts w:ascii="Times New Roman" w:cs="Times New Roman" w:eastAsia="Times New Roman" w:hAnsi="Times New Roman"/>
                <w:color w:val="1F2937"/>
                <w:sz w:val="20"/>
                <w:szCs w:val="20"/>
              </w:rPr>
              <w:t xml:space="preserve">Amnésie partielle du trauma, croyances négatives persistantes, auto-blâme, honte, culpabilité, émotions négatives durables, anhédonie, sentiment de détachement</w:t>
            </w:r>
          </w:p>
        </w:tc>
      </w:tr>
      <w:tr>
        <w:tc>
          <w:tcPr>
            <w:shd w:fill="FFFFFF" w:val="clear"/>
          </w:tcPr>
          <w:p>
            <w:r>
              <w:rPr>
                <w:rFonts w:ascii="Times New Roman" w:cs="Times New Roman" w:eastAsia="Times New Roman" w:hAnsi="Times New Roman"/>
                <w:color w:val="1F2937"/>
                <w:sz w:val="20"/>
                <w:szCs w:val="20"/>
              </w:rPr>
              <w:t xml:space="preserve">Critère E</w:t>
            </w:r>
          </w:p>
        </w:tc>
        <w:tc>
          <w:tcPr>
            <w:shd w:fill="FFFFFF" w:val="clear"/>
          </w:tcPr>
          <w:p>
            <w:r>
              <w:rPr>
                <w:rFonts w:ascii="Times New Roman" w:cs="Times New Roman" w:eastAsia="Times New Roman" w:hAnsi="Times New Roman"/>
                <w:color w:val="1F2937"/>
                <w:sz w:val="20"/>
                <w:szCs w:val="20"/>
              </w:rPr>
              <w:t xml:space="preserve">Hyperactivation neurovégétative</w:t>
            </w:r>
          </w:p>
        </w:tc>
        <w:tc>
          <w:tcPr>
            <w:shd w:fill="FFFFFF" w:val="clear"/>
          </w:tcPr>
          <w:p>
            <w:r>
              <w:rPr>
                <w:rFonts w:ascii="Times New Roman" w:cs="Times New Roman" w:eastAsia="Times New Roman" w:hAnsi="Times New Roman"/>
                <w:color w:val="1F2937"/>
                <w:sz w:val="20"/>
                <w:szCs w:val="20"/>
              </w:rPr>
              <w:t xml:space="preserve">Hypervigilance, sursauts exagérés, troubles de la concentration, troubles du sommeil, comportements impulsifs ou autodestructeurs</w:t>
            </w:r>
          </w:p>
        </w:tc>
      </w:tr>
    </w:tbl>
    <w:p>
      <w:pPr>
        <w:spacing w:before="120"/>
      </w:pPr>
    </w:p>
    <w:p>
      <w:pPr>
        <w:spacing w:after="80" w:before="80"/>
        <w:ind/>
      </w:pPr>
      <w:r>
        <w:rPr>
          <w:rFonts w:ascii="Times New Roman" w:cs="Times New Roman" w:eastAsia="Times New Roman" w:hAnsi="Times New Roman"/>
          <w:b w:val="false"/>
          <w:bCs w:val="false"/>
          <w:i w:val="false"/>
          <w:iCs w:val="false"/>
          <w:color w:val="1F2937"/>
          <w:sz w:val="22"/>
          <w:szCs w:val="22"/>
        </w:rPr>
        <w:t xml:space="preserve">Durée &gt; 1 mois et altération significative du fonctionnement sont requis. Le DSM-5 ajoute un sous-type dissociatif (dépersonnalisation / déréalisation persistantes) et un sous-type à expression différée (&gt; 6 mois).</w:t>
      </w:r>
    </w:p>
    <w:p>
      <w:pPr>
        <w:pStyle w:val="Heading3"/>
        <w:spacing w:after="80" w:before="200"/>
      </w:pPr>
      <w:r>
        <w:rPr>
          <w:rFonts w:ascii="Times New Roman" w:cs="Times New Roman" w:eastAsia="Times New Roman" w:hAnsi="Times New Roman"/>
          <w:b/>
          <w:bCs/>
          <w:color w:val="1F2937"/>
          <w:sz w:val="26"/>
          <w:szCs w:val="26"/>
        </w:rPr>
        <w:t xml:space="preserve">3. Le TSPT complexe (C-PTSD) — apport de la CIM-11</w:t>
      </w:r>
    </w:p>
    <w:p>
      <w:pPr>
        <w:spacing w:after="80" w:before="80"/>
        <w:ind/>
      </w:pPr>
      <w:r>
        <w:rPr>
          <w:rFonts w:ascii="Times New Roman" w:cs="Times New Roman" w:eastAsia="Times New Roman" w:hAnsi="Times New Roman"/>
          <w:b w:val="false"/>
          <w:bCs w:val="false"/>
          <w:i w:val="false"/>
          <w:iCs w:val="false"/>
          <w:color w:val="1F2937"/>
          <w:sz w:val="22"/>
          <w:szCs w:val="22"/>
        </w:rPr>
        <w:t xml:space="preserve">La CIM-11 (OMS, code 6B41) distingue explicitement le C-PTSD du TSPT simple. Il survient après des traumatismes répétés, prolongés, interpersonnels, souvent précoces (maltraitance infantile, violence conjugale chronique, torture, prostitution forcée).</w:t>
      </w:r>
    </w:p>
    <w:p>
      <w:pPr>
        <w:spacing w:after="80" w:before="80"/>
        <w:ind/>
      </w:pPr>
      <w:r>
        <w:rPr>
          <w:rFonts w:ascii="Times New Roman" w:cs="Times New Roman" w:eastAsia="Times New Roman" w:hAnsi="Times New Roman"/>
          <w:b w:val="false"/>
          <w:bCs w:val="false"/>
          <w:i w:val="false"/>
          <w:iCs w:val="false"/>
          <w:color w:val="1F2937"/>
          <w:sz w:val="22"/>
          <w:szCs w:val="22"/>
        </w:rPr>
        <w:t xml:space="preserve">En plus des trois marqueurs fondamentaux du TSPT (reviviscence, évitement, hyperactivation), le C-PTSD implique trois perturbations de l'organisation du soi :</w:t>
      </w:r>
    </w:p>
    <w:p>
      <w:pPr>
        <w:pStyle w:val="ListParagraph"/>
        <w:numPr>
          <w:ilvl w:val="0"/>
          <w:numId w:val="1"/>
        </w:numPr>
        <w:spacing w:after="60" w:before="60"/>
        <w:ind w:left="576"/>
      </w:pPr>
      <w:r>
        <w:rPr>
          <w:rFonts w:ascii="Times New Roman" w:cs="Times New Roman" w:eastAsia="Times New Roman" w:hAnsi="Times New Roman"/>
          <w:color w:val="1F2937"/>
          <w:sz w:val="22"/>
          <w:szCs w:val="22"/>
        </w:rPr>
        <w:t xml:space="preserve">Dérégulation émotionnelle sévère : réactivité émotionnelle intense, difficultés à moduler les affects.</w:t>
      </w:r>
    </w:p>
    <w:p>
      <w:pPr>
        <w:pStyle w:val="ListParagraph"/>
        <w:numPr>
          <w:ilvl w:val="0"/>
          <w:numId w:val="1"/>
        </w:numPr>
        <w:spacing w:after="60" w:before="60"/>
        <w:ind w:left="576"/>
      </w:pPr>
      <w:r>
        <w:rPr>
          <w:rFonts w:ascii="Times New Roman" w:cs="Times New Roman" w:eastAsia="Times New Roman" w:hAnsi="Times New Roman"/>
          <w:color w:val="1F2937"/>
          <w:sz w:val="22"/>
          <w:szCs w:val="22"/>
        </w:rPr>
        <w:t xml:space="preserve">Image de soi altérée : sentiment persistant d'être diminué, honteux, inutile ou incompréhensible aux autres.</w:t>
      </w:r>
    </w:p>
    <w:p>
      <w:pPr>
        <w:pStyle w:val="ListParagraph"/>
        <w:numPr>
          <w:ilvl w:val="0"/>
          <w:numId w:val="1"/>
        </w:numPr>
        <w:spacing w:after="60" w:before="60"/>
        <w:ind w:left="576"/>
      </w:pPr>
      <w:r>
        <w:rPr>
          <w:rFonts w:ascii="Times New Roman" w:cs="Times New Roman" w:eastAsia="Times New Roman" w:hAnsi="Times New Roman"/>
          <w:color w:val="1F2937"/>
          <w:sz w:val="22"/>
          <w:szCs w:val="22"/>
        </w:rPr>
        <w:t xml:space="preserve">Difficultés relationnelles persistantes : méfiance, retrait, incapacité à maintenir des liens stables.</w:t>
      </w:r>
    </w:p>
    <w:p>
      <w:pPr>
        <w:pStyle w:val="Heading3"/>
        <w:spacing w:after="80" w:before="200"/>
      </w:pPr>
      <w:r>
        <w:rPr>
          <w:rFonts w:ascii="Times New Roman" w:cs="Times New Roman" w:eastAsia="Times New Roman" w:hAnsi="Times New Roman"/>
          <w:b/>
          <w:bCs/>
          <w:color w:val="1F2937"/>
          <w:sz w:val="26"/>
          <w:szCs w:val="26"/>
        </w:rPr>
        <w:t xml:space="preserve">4. La dissociation : mécanisme et troubles</w:t>
      </w:r>
    </w:p>
    <w:p>
      <w:pPr>
        <w:spacing w:after="80" w:before="80"/>
        <w:ind/>
      </w:pPr>
      <w:r>
        <w:rPr>
          <w:rFonts w:ascii="Times New Roman" w:cs="Times New Roman" w:eastAsia="Times New Roman" w:hAnsi="Times New Roman"/>
          <w:b w:val="false"/>
          <w:bCs w:val="false"/>
          <w:i w:val="false"/>
          <w:iCs w:val="false"/>
          <w:color w:val="1F2937"/>
          <w:sz w:val="22"/>
          <w:szCs w:val="22"/>
        </w:rPr>
        <w:t xml:space="preserve">La dissociation est un processus psychologique de déconnexion entre des fonctions normalement intégrées : conscience, mémoire, identité, perceptions, comportement. Elle peut être un mécanisme adaptatif lors d'un trauma intense — mais devient pathologique lorsqu'elle est chronique et invalidante.</w:t>
      </w:r>
    </w:p>
    <w:p>
      <w:pPr>
        <w:spacing w:after="80" w:before="80"/>
        <w:ind/>
      </w:pPr>
      <w:r>
        <w:rPr>
          <w:rFonts w:ascii="Times New Roman" w:cs="Times New Roman" w:eastAsia="Times New Roman" w:hAnsi="Times New Roman"/>
          <w:b w:val="false"/>
          <w:bCs w:val="false"/>
          <w:i w:val="false"/>
          <w:iCs w:val="false"/>
          <w:color w:val="1F2937"/>
          <w:sz w:val="22"/>
          <w:szCs w:val="22"/>
        </w:rPr>
        <w:t xml:space="preserve">Les principaux troubles dissociatifs (DSM-5 / CIM-11) :</w:t>
      </w:r>
    </w:p>
    <w:p>
      <w:pPr>
        <w:pStyle w:val="ListParagraph"/>
        <w:numPr>
          <w:ilvl w:val="0"/>
          <w:numId w:val="1"/>
        </w:numPr>
        <w:spacing w:after="60" w:before="60"/>
        <w:ind w:left="576"/>
      </w:pPr>
      <w:r>
        <w:rPr>
          <w:rFonts w:ascii="Times New Roman" w:cs="Times New Roman" w:eastAsia="Times New Roman" w:hAnsi="Times New Roman"/>
          <w:color w:val="1F2937"/>
          <w:sz w:val="22"/>
          <w:szCs w:val="22"/>
        </w:rPr>
        <w:t xml:space="preserve">Amnésie dissociative : incapacité à rappeler des informations personnelles, typiquement de nature traumatique. Peut inclure la fugue dissociative.</w:t>
      </w:r>
    </w:p>
    <w:p>
      <w:pPr>
        <w:pStyle w:val="ListParagraph"/>
        <w:numPr>
          <w:ilvl w:val="0"/>
          <w:numId w:val="1"/>
        </w:numPr>
        <w:spacing w:after="60" w:before="60"/>
        <w:ind w:left="576"/>
      </w:pPr>
      <w:r>
        <w:rPr>
          <w:rFonts w:ascii="Times New Roman" w:cs="Times New Roman" w:eastAsia="Times New Roman" w:hAnsi="Times New Roman"/>
          <w:color w:val="1F2937"/>
          <w:sz w:val="22"/>
          <w:szCs w:val="22"/>
        </w:rPr>
        <w:t xml:space="preserve">Trouble de dépersonnalisation-déréalisation : sentiment de détachement de soi-même (dépersonnalisation) ou de l'environnement perçu comme irréel (déréalisation).</w:t>
      </w:r>
    </w:p>
    <w:p>
      <w:pPr>
        <w:pStyle w:val="ListParagraph"/>
        <w:numPr>
          <w:ilvl w:val="0"/>
          <w:numId w:val="1"/>
        </w:numPr>
        <w:spacing w:after="60" w:before="60"/>
        <w:ind w:left="576"/>
      </w:pPr>
      <w:r>
        <w:rPr>
          <w:rFonts w:ascii="Times New Roman" w:cs="Times New Roman" w:eastAsia="Times New Roman" w:hAnsi="Times New Roman"/>
          <w:color w:val="1F2937"/>
          <w:sz w:val="22"/>
          <w:szCs w:val="22"/>
        </w:rPr>
        <w:t xml:space="preserve">Trouble dissociatif de l'identité (TDI) : présence d'au moins deux états de personnalité distincts. Lien étroit avec les traumatismes précoces et répétés. Reste l'objet de débats scientifiques.</w:t>
      </w:r>
    </w:p>
    <w:p>
      <w:pPr>
        <w:spacing w:after="80" w:before="80"/>
        <w:ind/>
      </w:pPr>
      <w:r>
        <w:rPr>
          <w:rFonts w:ascii="Times New Roman" w:cs="Times New Roman" w:eastAsia="Times New Roman" w:hAnsi="Times New Roman"/>
          <w:b w:val="false"/>
          <w:bCs w:val="false"/>
          <w:i w:val="false"/>
          <w:iCs w:val="false"/>
          <w:color w:val="1F2937"/>
          <w:sz w:val="22"/>
          <w:szCs w:val="22"/>
        </w:rPr>
        <w:t xml:space="preserve">Le sous-type dissociatif du TSPT (DSM-5-TR) concerne environ 15% des personnes avec TSPT, avec des niveaux plus élevés de sévérité, de suicidalité, et de résistance aux traitements par exposition directe.</w:t>
      </w:r>
    </w:p>
    <w:p>
      <w:pPr>
        <w:pStyle w:val="Heading3"/>
        <w:spacing w:after="80" w:before="200"/>
      </w:pPr>
      <w:r>
        <w:rPr>
          <w:rFonts w:ascii="Times New Roman" w:cs="Times New Roman" w:eastAsia="Times New Roman" w:hAnsi="Times New Roman"/>
          <w:b/>
          <w:bCs/>
          <w:color w:val="1F2937"/>
          <w:sz w:val="26"/>
          <w:szCs w:val="26"/>
        </w:rPr>
        <w:t xml:space="preserve">5. Traitements basés sur les preuves</w:t>
      </w:r>
    </w:p>
    <w:p>
      <w:pPr>
        <w:spacing w:after="80" w:before="80"/>
        <w:ind/>
      </w:pPr>
      <w:r>
        <w:rPr>
          <w:rFonts w:ascii="Times New Roman" w:cs="Times New Roman" w:eastAsia="Times New Roman" w:hAnsi="Times New Roman"/>
          <w:b w:val="false"/>
          <w:bCs w:val="false"/>
          <w:i w:val="false"/>
          <w:iCs w:val="false"/>
          <w:color w:val="1F2937"/>
          <w:sz w:val="22"/>
          <w:szCs w:val="22"/>
        </w:rPr>
        <w:t xml:space="preserve">Les traitements recommandés combinent psychothérapie et, parfois, pharmacothérapie :</w:t>
      </w:r>
    </w:p>
    <w:p>
      <w:pPr>
        <w:pStyle w:val="ListParagraph"/>
        <w:numPr>
          <w:ilvl w:val="0"/>
          <w:numId w:val="1"/>
        </w:numPr>
        <w:spacing w:after="60" w:before="60"/>
        <w:ind w:left="576"/>
      </w:pPr>
      <w:r>
        <w:rPr>
          <w:rFonts w:ascii="Times New Roman" w:cs="Times New Roman" w:eastAsia="Times New Roman" w:hAnsi="Times New Roman"/>
          <w:color w:val="1F2937"/>
          <w:sz w:val="22"/>
          <w:szCs w:val="22"/>
        </w:rPr>
        <w:t xml:space="preserve">EMDR (Eye Movement Desensitization and Reprocessing) : traitement de retraitement du trauma par mouvements oculaires. Recommandé par l'OMS et de nombreuses sociétés savantes.</w:t>
      </w:r>
    </w:p>
    <w:p>
      <w:pPr>
        <w:pStyle w:val="ListParagraph"/>
        <w:numPr>
          <w:ilvl w:val="0"/>
          <w:numId w:val="1"/>
        </w:numPr>
        <w:spacing w:after="60" w:before="60"/>
        <w:ind w:left="576"/>
      </w:pPr>
      <w:r>
        <w:rPr>
          <w:rFonts w:ascii="Times New Roman" w:cs="Times New Roman" w:eastAsia="Times New Roman" w:hAnsi="Times New Roman"/>
          <w:color w:val="1F2937"/>
          <w:sz w:val="22"/>
          <w:szCs w:val="22"/>
        </w:rPr>
        <w:t xml:space="preserve">TCC centrée sur le trauma : thérapie d'exposition prolongée (PE) et thérapie de traitement cognitif (CPT) — efficaces pour le TSPT simple.</w:t>
      </w:r>
    </w:p>
    <w:p>
      <w:pPr>
        <w:pStyle w:val="ListParagraph"/>
        <w:numPr>
          <w:ilvl w:val="0"/>
          <w:numId w:val="1"/>
        </w:numPr>
        <w:spacing w:after="60" w:before="60"/>
        <w:ind w:left="576"/>
      </w:pPr>
      <w:r>
        <w:rPr>
          <w:rFonts w:ascii="Times New Roman" w:cs="Times New Roman" w:eastAsia="Times New Roman" w:hAnsi="Times New Roman"/>
          <w:color w:val="1F2937"/>
          <w:sz w:val="22"/>
          <w:szCs w:val="22"/>
        </w:rPr>
        <w:t xml:space="preserve">Approche par phases pour le C-PTSD et le TSPT dissociatif : stabilisation → traitement du trauma → réintégration. La méta-analyse citée en ressources conclut à un effet important du traitement par phases (d = 1,32) et à des « preuves provisoires » de sa supériorité sur la stabilisation seule (d = 0,45) ; elle ne statue pas sur une contre-indication de l'exposition. En pratique clinique, l'exposition directe est le plus souvent différée tant que la personne est en déstabilisation dissociative — c'est une règle de prudence largement partagée, à ne pas présenter comme un fait démontré. La décision revient au praticien.</w:t>
      </w:r>
    </w:p>
    <w:p>
      <w:pPr>
        <w:pStyle w:val="ListParagraph"/>
        <w:numPr>
          <w:ilvl w:val="0"/>
          <w:numId w:val="1"/>
        </w:numPr>
        <w:spacing w:after="60" w:before="60"/>
        <w:ind w:left="576"/>
      </w:pPr>
      <w:r>
        <w:rPr>
          <w:rFonts w:ascii="Times New Roman" w:cs="Times New Roman" w:eastAsia="Times New Roman" w:hAnsi="Times New Roman"/>
          <w:color w:val="1F2937"/>
          <w:sz w:val="22"/>
          <w:szCs w:val="22"/>
        </w:rPr>
        <w:t xml:space="preserve">Pharmacothérapie : ISRS / IRSNa en première ligne (efficaces chez ~50% des patients) ; pas de traitement médicamenteux curatif.</w:t>
      </w:r>
    </w:p>
    <w:p>
      <w:pPr>
        <w:spacing w:after="160" w:before="160"/>
      </w:pPr>
      <w:r>
        <w:rPr>
          <w:rFonts w:ascii="Times New Roman" w:cs="Times New Roman" w:eastAsia="Times New Roman" w:hAnsi="Times New Roman"/>
          <w:color w:val="CCCCCC"/>
          <w:sz w:val="18"/>
          <w:szCs w:val="18"/>
        </w:rPr>
        <w:t xml:space="preserve">─────────────────────────────────────────</w:t>
      </w:r>
    </w:p>
    <w:p>
      <w:pPr>
        <w:pStyle w:val="Heading2"/>
        <w:spacing w:after="120" w:before="300"/>
      </w:pPr>
      <w:r>
        <w:rPr>
          <w:rFonts w:ascii="Times New Roman" w:cs="Times New Roman" w:eastAsia="Times New Roman" w:hAnsi="Times New Roman"/>
          <w:b/>
          <w:bCs/>
          <w:color w:val="1B3A6B"/>
          <w:sz w:val="30"/>
          <w:szCs w:val="30"/>
        </w:rPr>
        <w:t xml:space="preserve">🛠️ Pratique (80%) — Exercices d'apprentissage actif</w:t>
      </w:r>
    </w:p>
    <w:p>
      <w:pPr>
        <w:pStyle w:val="Heading3"/>
        <w:spacing w:after="80" w:before="200"/>
      </w:pPr>
      <w:r>
        <w:rPr>
          <w:rFonts w:ascii="Times New Roman" w:cs="Times New Roman" w:eastAsia="Times New Roman" w:hAnsi="Times New Roman"/>
          <w:b/>
          <w:bCs/>
          <w:color w:val="1F2937"/>
          <w:sz w:val="26"/>
          <w:szCs w:val="26"/>
        </w:rPr>
        <w:t xml:space="preserve">Exercice 1 — Comprendre les clusters : décompresser un récit</w:t>
      </w:r>
    </w:p>
    <w:p>
      <w:pPr>
        <w:spacing w:after="80" w:before="80"/>
        <w:ind/>
      </w:pPr>
      <w:r>
        <w:rPr>
          <w:rFonts w:ascii="Times New Roman" w:cs="Times New Roman" w:eastAsia="Times New Roman" w:hAnsi="Times New Roman"/>
          <w:b w:val="false"/>
          <w:bCs w:val="false"/>
          <w:i w:val="false"/>
          <w:iCs w:val="false"/>
          <w:color w:val="1F2937"/>
          <w:sz w:val="22"/>
          <w:szCs w:val="22"/>
        </w:rPr>
        <w:t xml:space="preserve">Lisez attentivement ce récit clinique condensé, puis identifiez les symptômes présents en les rattachant au cluster DSM-5 correspondant (B, C, D ou E).</w:t>
      </w:r>
    </w:p>
    <w:p>
      <w:pPr>
        <w:spacing w:after="80" w:before="80"/>
        <w:ind/>
      </w:pPr>
      <w:r>
        <w:rPr>
          <w:rFonts w:ascii="Times New Roman" w:cs="Times New Roman" w:eastAsia="Times New Roman" w:hAnsi="Times New Roman"/>
          <w:b w:val="false"/>
          <w:bCs w:val="false"/>
          <w:i w:val="false"/>
          <w:iCs w:val="false"/>
          <w:color w:val="1F2937"/>
          <w:sz w:val="22"/>
          <w:szCs w:val="22"/>
        </w:rPr>
        <w:t xml:space="preserve"/>
      </w:r>
    </w:p>
    <w:p>
      <w:pPr>
        <w:spacing w:after="80" w:before="80"/>
        <w:ind w:left="576"/>
      </w:pPr>
      <w:r>
        <w:rPr>
          <w:rFonts w:ascii="Times New Roman" w:cs="Times New Roman" w:eastAsia="Times New Roman" w:hAnsi="Times New Roman"/>
          <w:i/>
          <w:iCs/>
          <w:color w:val="1B3A6B"/>
          <w:sz w:val="22"/>
          <w:szCs w:val="22"/>
        </w:rPr>
        <w:t xml:space="preserve">Marco, 38 ans, a été victime d'une agression violente il y a 18 mois. Depuis, il fait des cauchemars presque toutes les nuits et se réveille en sueur. Dans la rue, si quelqu'un se rapproche trop vite de lui, son cœur s'emballe et il ne pense plus qu'à fuir. Il évite soigneusement le quartier où l'agression a eu lieu, et ne parle jamais de ce qui s'est passé — « ça ne servirait à rien ». Il pense souvent qu'il aurait dû « réagir autrement » ce soir-là. Il a perdu goût à ses activités habituelles et se sent coupé de ses amis. Parfois, quand quelque chose lui rappelle la scène, il a l'impression de « ne plus être dans son corps ».</w:t>
      </w:r>
    </w:p>
    <w:p>
      <w:pPr>
        <w:spacing w:after="80" w:before="80"/>
        <w:ind/>
      </w:pPr>
      <w:r>
        <w:rPr>
          <w:rFonts w:ascii="Times New Roman" w:cs="Times New Roman" w:eastAsia="Times New Roman" w:hAnsi="Times New Roman"/>
          <w:b w:val="false"/>
          <w:bCs w:val="false"/>
          <w:i w:val="false"/>
          <w:iCs w:val="false"/>
          <w:color w:val="1F2937"/>
          <w:sz w:val="22"/>
          <w:szCs w:val="22"/>
        </w:rPr>
        <w:t xml:space="preserve"/>
      </w:r>
    </w:p>
    <w:p>
      <w:pPr>
        <w:spacing w:after="80" w:before="80"/>
        <w:ind/>
      </w:pPr>
      <w:r>
        <w:rPr>
          <w:rFonts w:ascii="Times New Roman" w:cs="Times New Roman" w:eastAsia="Times New Roman" w:hAnsi="Times New Roman"/>
          <w:b w:val="false"/>
          <w:bCs w:val="false"/>
          <w:i w:val="false"/>
          <w:iCs w:val="false"/>
          <w:color w:val="1F2937"/>
          <w:sz w:val="22"/>
          <w:szCs w:val="22"/>
        </w:rPr>
        <w:t xml:space="preserve">Travail demandé :</w:t>
      </w:r>
    </w:p>
    <w:p>
      <w:pPr>
        <w:pStyle w:val="ListParagraph"/>
        <w:numPr>
          <w:ilvl w:val="0"/>
          <w:numId w:val="1"/>
        </w:numPr>
        <w:spacing w:after="60" w:before="60"/>
        <w:ind w:left="576"/>
      </w:pPr>
      <w:r>
        <w:rPr>
          <w:rFonts w:ascii="Times New Roman" w:cs="Times New Roman" w:eastAsia="Times New Roman" w:hAnsi="Times New Roman"/>
          <w:color w:val="1F2937"/>
          <w:sz w:val="22"/>
          <w:szCs w:val="22"/>
        </w:rPr>
        <w:t xml:space="preserve">Identifiez au moins 2 symptômes par cluster (B, C, D, E).</w:t>
      </w:r>
    </w:p>
    <w:p>
      <w:pPr>
        <w:pStyle w:val="ListParagraph"/>
        <w:numPr>
          <w:ilvl w:val="0"/>
          <w:numId w:val="1"/>
        </w:numPr>
        <w:spacing w:after="60" w:before="60"/>
        <w:ind w:left="576"/>
      </w:pPr>
      <w:r>
        <w:rPr>
          <w:rFonts w:ascii="Times New Roman" w:cs="Times New Roman" w:eastAsia="Times New Roman" w:hAnsi="Times New Roman"/>
          <w:color w:val="1F2937"/>
          <w:sz w:val="22"/>
          <w:szCs w:val="22"/>
        </w:rPr>
        <w:t xml:space="preserve">Identifiez le symptôme qui pourrait indiquer le sous-type dissociatif.</w:t>
      </w:r>
    </w:p>
    <w:p>
      <w:pPr>
        <w:pStyle w:val="ListParagraph"/>
        <w:numPr>
          <w:ilvl w:val="0"/>
          <w:numId w:val="1"/>
        </w:numPr>
        <w:spacing w:after="60" w:before="60"/>
        <w:ind w:left="576"/>
      </w:pPr>
      <w:r>
        <w:rPr>
          <w:rFonts w:ascii="Times New Roman" w:cs="Times New Roman" w:eastAsia="Times New Roman" w:hAnsi="Times New Roman"/>
          <w:color w:val="1F2937"/>
          <w:sz w:val="22"/>
          <w:szCs w:val="22"/>
        </w:rPr>
        <w:t xml:space="preserve">Selon vous, la durée (18 mois) et la description correspondent-elles à un ESA ou à un TSPT ? Justifiez.</w:t>
      </w:r>
    </w:p>
    <w:p>
      <w:pPr>
        <w:spacing w:after="80" w:before="80"/>
        <w:ind/>
      </w:pPr>
      <w:r>
        <w:rPr>
          <w:rFonts w:ascii="Times New Roman" w:cs="Times New Roman" w:eastAsia="Times New Roman" w:hAnsi="Times New Roman"/>
          <w:b w:val="false"/>
          <w:bCs w:val="false"/>
          <w:i w:val="false"/>
          <w:iCs w:val="false"/>
          <w:color w:val="1F2937"/>
          <w:sz w:val="22"/>
          <w:szCs w:val="22"/>
        </w:rPr>
        <w:t xml:space="preserve"/>
      </w:r>
    </w:p>
    <w:p>
      <w:pPr>
        <w:spacing w:after="80" w:before="80"/>
        <w:ind/>
      </w:pPr>
      <w:r>
        <w:rPr>
          <w:rFonts w:ascii="Times New Roman" w:cs="Times New Roman" w:eastAsia="Times New Roman" w:hAnsi="Times New Roman"/>
          <w:b/>
          <w:bCs/>
          <w:i w:val="false"/>
          <w:iCs w:val="false"/>
          <w:color w:val="1F2937"/>
          <w:sz w:val="22"/>
          <w:szCs w:val="22"/>
        </w:rPr>
        <w:t xml:space="preserve">Corrigé :</w:t>
      </w:r>
    </w:p>
    <w:p>
      <w:pPr>
        <w:pStyle w:val="ListParagraph"/>
        <w:numPr>
          <w:ilvl w:val="0"/>
          <w:numId w:val="1"/>
        </w:numPr>
        <w:spacing w:after="60" w:before="60"/>
        <w:ind w:left="576"/>
      </w:pPr>
      <w:r>
        <w:rPr>
          <w:rFonts w:ascii="Times New Roman" w:cs="Times New Roman" w:eastAsia="Times New Roman" w:hAnsi="Times New Roman"/>
          <w:color w:val="1F2937"/>
          <w:sz w:val="22"/>
          <w:szCs w:val="22"/>
        </w:rPr>
        <w:t xml:space="preserve">Cluster B (intrusion) : cauchemars récurrents ; réactivité physiologique (cœur qui s'emballe) au rappel du trauma.</w:t>
      </w:r>
    </w:p>
    <w:p>
      <w:pPr>
        <w:pStyle w:val="ListParagraph"/>
        <w:numPr>
          <w:ilvl w:val="0"/>
          <w:numId w:val="1"/>
        </w:numPr>
        <w:spacing w:after="60" w:before="60"/>
        <w:ind w:left="576"/>
      </w:pPr>
      <w:r>
        <w:rPr>
          <w:rFonts w:ascii="Times New Roman" w:cs="Times New Roman" w:eastAsia="Times New Roman" w:hAnsi="Times New Roman"/>
          <w:color w:val="1F2937"/>
          <w:sz w:val="22"/>
          <w:szCs w:val="22"/>
        </w:rPr>
        <w:t xml:space="preserve">Cluster C (évitement) : évitement du quartier (situation) ; refus de parler de l'événement (pensées/émotions liées au trauma).</w:t>
      </w:r>
    </w:p>
    <w:p>
      <w:pPr>
        <w:pStyle w:val="ListParagraph"/>
        <w:numPr>
          <w:ilvl w:val="0"/>
          <w:numId w:val="1"/>
        </w:numPr>
        <w:spacing w:after="60" w:before="60"/>
        <w:ind w:left="576"/>
      </w:pPr>
      <w:r>
        <w:rPr>
          <w:rFonts w:ascii="Times New Roman" w:cs="Times New Roman" w:eastAsia="Times New Roman" w:hAnsi="Times New Roman"/>
          <w:color w:val="1F2937"/>
          <w:sz w:val="22"/>
          <w:szCs w:val="22"/>
        </w:rPr>
        <w:t xml:space="preserve">Cluster D (cognitions/humeur négatives) : auto-blâme persistant (« j'aurais dû réagir autrement ») ; perte de plaisir (anhédonie) ; sentiment de détachement des proches.</w:t>
      </w:r>
    </w:p>
    <w:p>
      <w:pPr>
        <w:pStyle w:val="ListParagraph"/>
        <w:numPr>
          <w:ilvl w:val="0"/>
          <w:numId w:val="1"/>
        </w:numPr>
        <w:spacing w:after="60" w:before="60"/>
        <w:ind w:left="576"/>
      </w:pPr>
      <w:r>
        <w:rPr>
          <w:rFonts w:ascii="Times New Roman" w:cs="Times New Roman" w:eastAsia="Times New Roman" w:hAnsi="Times New Roman"/>
          <w:color w:val="1F2937"/>
          <w:sz w:val="22"/>
          <w:szCs w:val="22"/>
        </w:rPr>
        <w:t xml:space="preserve">Cluster E (hyperactivation) : hypervigilance aux mouvements proches ; réaction de sursaut/fuite.</w:t>
      </w:r>
    </w:p>
    <w:p>
      <w:pPr>
        <w:pStyle w:val="ListParagraph"/>
        <w:numPr>
          <w:ilvl w:val="0"/>
          <w:numId w:val="1"/>
        </w:numPr>
        <w:spacing w:after="60" w:before="60"/>
        <w:ind w:left="576"/>
      </w:pPr>
      <w:r>
        <w:rPr>
          <w:rFonts w:ascii="Times New Roman" w:cs="Times New Roman" w:eastAsia="Times New Roman" w:hAnsi="Times New Roman"/>
          <w:color w:val="1F2937"/>
          <w:sz w:val="22"/>
          <w:szCs w:val="22"/>
        </w:rPr>
        <w:t xml:space="preserve">Sous-type dissociatif : sentiment de « ne plus être dans son corps » lors des rappels → dépersonnalisation.</w:t>
      </w:r>
    </w:p>
    <w:p>
      <w:pPr>
        <w:pStyle w:val="ListParagraph"/>
        <w:numPr>
          <w:ilvl w:val="0"/>
          <w:numId w:val="1"/>
        </w:numPr>
        <w:spacing w:after="60" w:before="60"/>
        <w:ind w:left="576"/>
      </w:pPr>
      <w:r>
        <w:rPr>
          <w:rFonts w:ascii="Times New Roman" w:cs="Times New Roman" w:eastAsia="Times New Roman" w:hAnsi="Times New Roman"/>
          <w:color w:val="1F2937"/>
          <w:sz w:val="22"/>
          <w:szCs w:val="22"/>
        </w:rPr>
        <w:t xml:space="preserve">ESA ou TSPT : la durée est de 18 mois, soit bien au-delà du seuil d'un mois → TSPT constitué (et non ESA, qui ne dépasse pas 4 semaines).</w:t>
      </w:r>
    </w:p>
    <w:p>
      <w:pPr>
        <w:spacing w:after="160" w:before="160"/>
      </w:pPr>
      <w:r>
        <w:rPr>
          <w:rFonts w:ascii="Times New Roman" w:cs="Times New Roman" w:eastAsia="Times New Roman" w:hAnsi="Times New Roman"/>
          <w:color w:val="CCCCCC"/>
          <w:sz w:val="18"/>
          <w:szCs w:val="18"/>
        </w:rPr>
        <w:t xml:space="preserve">─────────────────────────────────────────</w:t>
      </w:r>
    </w:p>
    <w:p>
      <w:pPr>
        <w:pStyle w:val="Heading3"/>
        <w:spacing w:after="80" w:before="200"/>
      </w:pPr>
      <w:r>
        <w:rPr>
          <w:rFonts w:ascii="Times New Roman" w:cs="Times New Roman" w:eastAsia="Times New Roman" w:hAnsi="Times New Roman"/>
          <w:b/>
          <w:bCs/>
          <w:color w:val="1F2937"/>
          <w:sz w:val="26"/>
          <w:szCs w:val="26"/>
        </w:rPr>
        <w:t xml:space="preserve">Exercice 2 — TSPT simple vs TSPT complexe : vignette comparative</w:t>
      </w:r>
    </w:p>
    <w:p>
      <w:pPr>
        <w:spacing w:after="80" w:before="80"/>
        <w:ind/>
      </w:pPr>
      <w:r>
        <w:rPr>
          <w:rFonts w:ascii="Times New Roman" w:cs="Times New Roman" w:eastAsia="Times New Roman" w:hAnsi="Times New Roman"/>
          <w:b w:val="false"/>
          <w:bCs w:val="false"/>
          <w:i w:val="false"/>
          <w:iCs w:val="false"/>
          <w:color w:val="1F2937"/>
          <w:sz w:val="22"/>
          <w:szCs w:val="22"/>
        </w:rPr>
        <w:t xml:space="preserve">Voici deux vignettes cliniques. Pour chacune, indiquez s'il s'agit plutôt d'un TSPT (DSM-5) ou d'un TSPT complexe (CIM-11), en justifiant avec les critères distinctifs.</w:t>
      </w:r>
    </w:p>
    <w:p>
      <w:pPr>
        <w:spacing w:after="80" w:before="80"/>
        <w:ind/>
      </w:pPr>
      <w:r>
        <w:rPr>
          <w:rFonts w:ascii="Times New Roman" w:cs="Times New Roman" w:eastAsia="Times New Roman" w:hAnsi="Times New Roman"/>
          <w:b w:val="false"/>
          <w:bCs w:val="false"/>
          <w:i w:val="false"/>
          <w:iCs w:val="false"/>
          <w:color w:val="1F2937"/>
          <w:sz w:val="22"/>
          <w:szCs w:val="22"/>
        </w:rPr>
        <w:t xml:space="preserve"/>
      </w:r>
    </w:p>
    <w:p>
      <w:pPr>
        <w:spacing w:after="80" w:before="80"/>
        <w:ind w:left="576"/>
      </w:pPr>
      <w:r>
        <w:rPr>
          <w:rFonts w:ascii="Times New Roman" w:cs="Times New Roman" w:eastAsia="Times New Roman" w:hAnsi="Times New Roman"/>
          <w:i/>
          <w:iCs/>
          <w:color w:val="1B3A6B"/>
          <w:sz w:val="22"/>
          <w:szCs w:val="22"/>
        </w:rPr>
        <w:t xml:space="preserve">Vignette A — Inès, 29 ans : victime d'un accident de voiture grave il y a 14 mois. Elle revit l'accident en flashbacks, évite de prendre la route, présente une hypervigilance marquée. Elle a des difficultés de sommeil et des crises de larmes. Elle dit « je ne comprends pas pourquoi ça m'arrive à moi » mais garde une image globalement positive d'elle-même et des liens sociaux préservés.</w:t>
      </w:r>
    </w:p>
    <w:p>
      <w:pPr>
        <w:spacing w:after="80" w:before="80"/>
        <w:ind/>
      </w:pPr>
      <w:r>
        <w:rPr>
          <w:rFonts w:ascii="Times New Roman" w:cs="Times New Roman" w:eastAsia="Times New Roman" w:hAnsi="Times New Roman"/>
          <w:b w:val="false"/>
          <w:bCs w:val="false"/>
          <w:i w:val="false"/>
          <w:iCs w:val="false"/>
          <w:color w:val="1F2937"/>
          <w:sz w:val="22"/>
          <w:szCs w:val="22"/>
        </w:rPr>
        <w:t xml:space="preserve"/>
      </w:r>
    </w:p>
    <w:p>
      <w:pPr>
        <w:spacing w:after="80" w:before="80"/>
        <w:ind w:left="576"/>
      </w:pPr>
      <w:r>
        <w:rPr>
          <w:rFonts w:ascii="Times New Roman" w:cs="Times New Roman" w:eastAsia="Times New Roman" w:hAnsi="Times New Roman"/>
          <w:i/>
          <w:iCs/>
          <w:color w:val="1B3A6B"/>
          <w:sz w:val="22"/>
          <w:szCs w:val="22"/>
        </w:rPr>
        <w:t xml:space="preserve">Vignette B — Sofia, 41 ans : a subi des violences conjugales pendant 12 ans. Elle a quitté la relation il y a 3 ans. Elle revit des épisodes sous forme de flashbacks olfactifs et auditifs. Elle décrit un sentiment profond de « honte » et de « ne valoir rien ». Elle évite toute relation proche « pour ne pas souffrir à nouveau ». Elle a des accès de colère incontrôlables, puis se sent vide. Elle dit ne plus reconnaître qui elle est.</w:t>
      </w:r>
    </w:p>
    <w:p>
      <w:pPr>
        <w:spacing w:after="80" w:before="80"/>
        <w:ind/>
      </w:pPr>
      <w:r>
        <w:rPr>
          <w:rFonts w:ascii="Times New Roman" w:cs="Times New Roman" w:eastAsia="Times New Roman" w:hAnsi="Times New Roman"/>
          <w:b w:val="false"/>
          <w:bCs w:val="false"/>
          <w:i w:val="false"/>
          <w:iCs w:val="false"/>
          <w:color w:val="1F2937"/>
          <w:sz w:val="22"/>
          <w:szCs w:val="22"/>
        </w:rPr>
        <w:t xml:space="preserve"/>
      </w:r>
    </w:p>
    <w:p>
      <w:pPr>
        <w:spacing w:after="80" w:before="80"/>
        <w:ind/>
      </w:pPr>
      <w:r>
        <w:rPr>
          <w:rFonts w:ascii="Times New Roman" w:cs="Times New Roman" w:eastAsia="Times New Roman" w:hAnsi="Times New Roman"/>
          <w:b/>
          <w:bCs/>
          <w:i w:val="false"/>
          <w:iCs w:val="false"/>
          <w:color w:val="1F2937"/>
          <w:sz w:val="22"/>
          <w:szCs w:val="22"/>
        </w:rPr>
        <w:t xml:space="preserve">Corrigé :</w:t>
      </w:r>
    </w:p>
    <w:p>
      <w:pPr>
        <w:pStyle w:val="ListParagraph"/>
        <w:numPr>
          <w:ilvl w:val="0"/>
          <w:numId w:val="1"/>
        </w:numPr>
        <w:spacing w:after="60" w:before="60"/>
        <w:ind w:left="576"/>
      </w:pPr>
      <w:r>
        <w:rPr>
          <w:rFonts w:ascii="Times New Roman" w:cs="Times New Roman" w:eastAsia="Times New Roman" w:hAnsi="Times New Roman"/>
          <w:color w:val="1F2937"/>
          <w:sz w:val="22"/>
          <w:szCs w:val="22"/>
        </w:rPr>
        <w:t xml:space="preserve">Vignette A — TSPT (DSM-5) : trauma unique, symptômes des clusters B/C/D/E présents, mais image de soi préservée et liens sociaux maintenus. Pas de dérégulation émotionnelle sévère ni de perturbation identitaire.</w:t>
      </w:r>
    </w:p>
    <w:p>
      <w:pPr>
        <w:pStyle w:val="ListParagraph"/>
        <w:numPr>
          <w:ilvl w:val="0"/>
          <w:numId w:val="1"/>
        </w:numPr>
        <w:spacing w:after="60" w:before="60"/>
        <w:ind w:left="576"/>
      </w:pPr>
      <w:r>
        <w:rPr>
          <w:rFonts w:ascii="Times New Roman" w:cs="Times New Roman" w:eastAsia="Times New Roman" w:hAnsi="Times New Roman"/>
          <w:color w:val="1F2937"/>
          <w:sz w:val="22"/>
          <w:szCs w:val="22"/>
        </w:rPr>
        <w:t xml:space="preserve">Vignette B — TSPT complexe (CIM-11) : traumatisme interpersonnel répété et prolongé (12 ans), en plus des symptômes de base du TSPT → honte profonde + sentiment de ne valoir rien (image de soi altérée), évitement relationnel généralisé (difficultés relationnelles persistantes), accès de colère + sensation de vide (dérégulation émotionnelle sévère). Les trois perturbations de l'organisation du soi sont présentes.</w:t>
      </w:r>
    </w:p>
    <w:p>
      <w:pPr>
        <w:spacing w:after="160" w:before="160"/>
      </w:pPr>
      <w:r>
        <w:rPr>
          <w:rFonts w:ascii="Times New Roman" w:cs="Times New Roman" w:eastAsia="Times New Roman" w:hAnsi="Times New Roman"/>
          <w:color w:val="CCCCCC"/>
          <w:sz w:val="18"/>
          <w:szCs w:val="18"/>
        </w:rPr>
        <w:t xml:space="preserve">─────────────────────────────────────────</w:t>
      </w:r>
    </w:p>
    <w:p>
      <w:pPr>
        <w:pStyle w:val="Heading3"/>
        <w:spacing w:after="80" w:before="200"/>
      </w:pPr>
      <w:r>
        <w:rPr>
          <w:rFonts w:ascii="Times New Roman" w:cs="Times New Roman" w:eastAsia="Times New Roman" w:hAnsi="Times New Roman"/>
          <w:b/>
          <w:bCs/>
          <w:color w:val="1F2937"/>
          <w:sz w:val="26"/>
          <w:szCs w:val="26"/>
        </w:rPr>
        <w:t xml:space="preserve">Exercice 3 — La dissociation en pratique : reconnaître les manifestations</w:t>
      </w:r>
    </w:p>
    <w:p>
      <w:pPr>
        <w:spacing w:after="80" w:before="80"/>
        <w:ind/>
      </w:pPr>
      <w:r>
        <w:rPr>
          <w:rFonts w:ascii="Times New Roman" w:cs="Times New Roman" w:eastAsia="Times New Roman" w:hAnsi="Times New Roman"/>
          <w:b w:val="false"/>
          <w:bCs w:val="false"/>
          <w:i w:val="false"/>
          <w:iCs w:val="false"/>
          <w:color w:val="1F2937"/>
          <w:sz w:val="22"/>
          <w:szCs w:val="22"/>
        </w:rPr>
        <w:t xml:space="preserve">La dissociation s'exprime de nombreuses façons dans la vie quotidienne — des plus légères (rêvasserie, « pilote automatique ») aux plus sévères. Cet exercice vise à affiner votre capacité de repérage.</w:t>
      </w:r>
    </w:p>
    <w:p>
      <w:pPr>
        <w:spacing w:after="80" w:before="80"/>
        <w:ind/>
      </w:pPr>
      <w:r>
        <w:rPr>
          <w:rFonts w:ascii="Times New Roman" w:cs="Times New Roman" w:eastAsia="Times New Roman" w:hAnsi="Times New Roman"/>
          <w:b w:val="false"/>
          <w:bCs w:val="false"/>
          <w:i w:val="false"/>
          <w:iCs w:val="false"/>
          <w:color w:val="1F2937"/>
          <w:sz w:val="22"/>
          <w:szCs w:val="22"/>
        </w:rPr>
        <w:t xml:space="preserve"/>
      </w:r>
    </w:p>
    <w:p>
      <w:pPr>
        <w:spacing w:after="80" w:before="80"/>
        <w:ind/>
      </w:pPr>
      <w:r>
        <w:rPr>
          <w:rFonts w:ascii="Times New Roman" w:cs="Times New Roman" w:eastAsia="Times New Roman" w:hAnsi="Times New Roman"/>
          <w:b w:val="false"/>
          <w:bCs w:val="false"/>
          <w:i w:val="false"/>
          <w:iCs w:val="false"/>
          <w:color w:val="1F2937"/>
          <w:sz w:val="22"/>
          <w:szCs w:val="22"/>
        </w:rPr>
        <w:t xml:space="preserve">Pour chaque manifestation décrite, indiquez : (a) de quel type de dissociation il s'agit, (b) si cela relève du domaine de la vie quotidienne normale ou d'une dissociation potentiellement pathologique.</w:t>
      </w:r>
    </w:p>
    <w:p>
      <w:pPr>
        <w:spacing w:after="80" w:before="80"/>
        <w:ind/>
      </w:pPr>
      <w:r>
        <w:rPr>
          <w:rFonts w:ascii="Times New Roman" w:cs="Times New Roman" w:eastAsia="Times New Roman" w:hAnsi="Times New Roman"/>
          <w:b w:val="false"/>
          <w:bCs w:val="false"/>
          <w:i w:val="false"/>
          <w:iCs w:val="false"/>
          <w:color w:val="1F2937"/>
          <w:sz w:val="22"/>
          <w:szCs w:val="22"/>
        </w:rPr>
        <w:t xml:space="preserve"/>
      </w:r>
    </w:p>
    <w:p>
      <w:pPr>
        <w:pStyle w:val="ListParagraph"/>
        <w:numPr>
          <w:ilvl w:val="0"/>
          <w:numId w:val="1"/>
        </w:numPr>
        <w:spacing w:after="60" w:before="60"/>
        <w:ind w:left="576"/>
      </w:pPr>
      <w:r>
        <w:rPr>
          <w:rFonts w:ascii="Times New Roman" w:cs="Times New Roman" w:eastAsia="Times New Roman" w:hAnsi="Times New Roman"/>
          <w:color w:val="1F2937"/>
          <w:sz w:val="22"/>
          <w:szCs w:val="22"/>
        </w:rPr>
        <w:t xml:space="preserve">1. En conduisant sur un trajet habituel, vous vous retrouvez à destination sans souvenir des 20 dernières minutes.</w:t>
      </w:r>
    </w:p>
    <w:p>
      <w:pPr>
        <w:pStyle w:val="ListParagraph"/>
        <w:numPr>
          <w:ilvl w:val="0"/>
          <w:numId w:val="1"/>
        </w:numPr>
        <w:spacing w:after="60" w:before="60"/>
        <w:ind w:left="576"/>
      </w:pPr>
      <w:r>
        <w:rPr>
          <w:rFonts w:ascii="Times New Roman" w:cs="Times New Roman" w:eastAsia="Times New Roman" w:hAnsi="Times New Roman"/>
          <w:color w:val="1F2937"/>
          <w:sz w:val="22"/>
          <w:szCs w:val="22"/>
        </w:rPr>
        <w:t xml:space="preserve">2. Une résidente dit qu'elle a parfois l'impression de « se regarder d'en haut » pendant les réunions, comme si elle n'était pas vraiment là.</w:t>
      </w:r>
    </w:p>
    <w:p>
      <w:pPr>
        <w:pStyle w:val="ListParagraph"/>
        <w:numPr>
          <w:ilvl w:val="0"/>
          <w:numId w:val="1"/>
        </w:numPr>
        <w:spacing w:after="60" w:before="60"/>
        <w:ind w:left="576"/>
      </w:pPr>
      <w:r>
        <w:rPr>
          <w:rFonts w:ascii="Times New Roman" w:cs="Times New Roman" w:eastAsia="Times New Roman" w:hAnsi="Times New Roman"/>
          <w:color w:val="1F2937"/>
          <w:sz w:val="22"/>
          <w:szCs w:val="22"/>
        </w:rPr>
        <w:t xml:space="preserve">3. Un résident ne se souvient pas d'un épisode de crise agressive qu'il a eu trois jours plus tôt — ses collègues témoins en sont certains.</w:t>
      </w:r>
    </w:p>
    <w:p>
      <w:pPr>
        <w:pStyle w:val="ListParagraph"/>
        <w:numPr>
          <w:ilvl w:val="0"/>
          <w:numId w:val="1"/>
        </w:numPr>
        <w:spacing w:after="60" w:before="60"/>
        <w:ind w:left="576"/>
      </w:pPr>
      <w:r>
        <w:rPr>
          <w:rFonts w:ascii="Times New Roman" w:cs="Times New Roman" w:eastAsia="Times New Roman" w:hAnsi="Times New Roman"/>
          <w:color w:val="1F2937"/>
          <w:sz w:val="22"/>
          <w:szCs w:val="22"/>
        </w:rPr>
        <w:t xml:space="preserve">4. Lors d'un entretien difficile avec vous, une professionnelle décrit que « la pièce paraît irréelle, comme dans un brouillard ».</w:t>
      </w:r>
    </w:p>
    <w:p>
      <w:pPr>
        <w:spacing w:after="80" w:before="80"/>
        <w:ind/>
      </w:pPr>
      <w:r>
        <w:rPr>
          <w:rFonts w:ascii="Times New Roman" w:cs="Times New Roman" w:eastAsia="Times New Roman" w:hAnsi="Times New Roman"/>
          <w:b w:val="false"/>
          <w:bCs w:val="false"/>
          <w:i w:val="false"/>
          <w:iCs w:val="false"/>
          <w:color w:val="1F2937"/>
          <w:sz w:val="22"/>
          <w:szCs w:val="22"/>
        </w:rPr>
        <w:t xml:space="preserve"/>
      </w:r>
    </w:p>
    <w:p>
      <w:pPr>
        <w:spacing w:after="80" w:before="80"/>
        <w:ind/>
      </w:pPr>
      <w:r>
        <w:rPr>
          <w:rFonts w:ascii="Times New Roman" w:cs="Times New Roman" w:eastAsia="Times New Roman" w:hAnsi="Times New Roman"/>
          <w:b/>
          <w:bCs/>
          <w:i w:val="false"/>
          <w:iCs w:val="false"/>
          <w:color w:val="1F2937"/>
          <w:sz w:val="22"/>
          <w:szCs w:val="22"/>
        </w:rPr>
        <w:t xml:space="preserve">Corrigé :</w:t>
      </w:r>
    </w:p>
    <w:p>
      <w:pPr>
        <w:pStyle w:val="ListParagraph"/>
        <w:numPr>
          <w:ilvl w:val="0"/>
          <w:numId w:val="1"/>
        </w:numPr>
        <w:spacing w:after="60" w:before="60"/>
        <w:ind w:left="576"/>
      </w:pPr>
      <w:r>
        <w:rPr>
          <w:rFonts w:ascii="Times New Roman" w:cs="Times New Roman" w:eastAsia="Times New Roman" w:hAnsi="Times New Roman"/>
          <w:color w:val="1F2937"/>
          <w:sz w:val="22"/>
          <w:szCs w:val="22"/>
        </w:rPr>
        <w:t xml:space="preserve">1. Automatisme dissociatif (conduite en mode automatique) — phénomène normal de la vie quotidienne, dit « dissociation légère ». Pas pathologique en soi.</w:t>
      </w:r>
    </w:p>
    <w:p>
      <w:pPr>
        <w:pStyle w:val="ListParagraph"/>
        <w:numPr>
          <w:ilvl w:val="0"/>
          <w:numId w:val="1"/>
        </w:numPr>
        <w:spacing w:after="60" w:before="60"/>
        <w:ind w:left="576"/>
      </w:pPr>
      <w:r>
        <w:rPr>
          <w:rFonts w:ascii="Times New Roman" w:cs="Times New Roman" w:eastAsia="Times New Roman" w:hAnsi="Times New Roman"/>
          <w:color w:val="1F2937"/>
          <w:sz w:val="22"/>
          <w:szCs w:val="22"/>
        </w:rPr>
        <w:t xml:space="preserve">2. Dépersonnalisation légère — l'impression d'être observateur de soi-même. Si ce phénomène est occasionnel et non invalidant, il peut rester dans la norme ; si persistant et source de souffrance, il oriente vers un trouble de dépersonnalisation-déréalisation.</w:t>
      </w:r>
    </w:p>
    <w:p>
      <w:pPr>
        <w:pStyle w:val="ListParagraph"/>
        <w:numPr>
          <w:ilvl w:val="0"/>
          <w:numId w:val="1"/>
        </w:numPr>
        <w:spacing w:after="60" w:before="60"/>
        <w:ind w:left="576"/>
      </w:pPr>
      <w:r>
        <w:rPr>
          <w:rFonts w:ascii="Times New Roman" w:cs="Times New Roman" w:eastAsia="Times New Roman" w:hAnsi="Times New Roman"/>
          <w:color w:val="1F2937"/>
          <w:sz w:val="22"/>
          <w:szCs w:val="22"/>
        </w:rPr>
        <w:t xml:space="preserve">3. Amnésie dissociative — absence de souvenir d'un événement réel, typiquement post-traumatique ou en lien avec une dissociation sévère. Phénomène potentiellement pathologique, à signaler au médecin.</w:t>
      </w:r>
    </w:p>
    <w:p>
      <w:pPr>
        <w:pStyle w:val="ListParagraph"/>
        <w:numPr>
          <w:ilvl w:val="0"/>
          <w:numId w:val="1"/>
        </w:numPr>
        <w:spacing w:after="60" w:before="60"/>
        <w:ind w:left="576"/>
      </w:pPr>
      <w:r>
        <w:rPr>
          <w:rFonts w:ascii="Times New Roman" w:cs="Times New Roman" w:eastAsia="Times New Roman" w:hAnsi="Times New Roman"/>
          <w:color w:val="1F2937"/>
          <w:sz w:val="22"/>
          <w:szCs w:val="22"/>
        </w:rPr>
        <w:t xml:space="preserve">4. Déréalisation — perception de l'environnement comme irréel, brumeux. Ici, survenant dans un contexte de stress (entretien difficile) → probablement réaction dissociative transitoire au stress. ⚠️ Attention à la limite de rôle : il s'agit d'une professionnelle, non d'une personne accompagnée. La santé d'un membre de l'équipe ne relève NI de ton observation clinique NI de ton suivi : elle relève du service de prévention et de santé au travail, que la personne peut saisir directement et sans passer par sa hiérarchie. Ton rôle d'encadrant se limite à agir sur ce qui dépend de toi — l'organisation, la charge, le cadre de l'entretien — et à rappeler l'existence de ce recours. Repérer n'autorise pas à suivre.</w:t>
      </w:r>
    </w:p>
    <w:p>
      <w:pPr>
        <w:spacing w:after="160" w:before="160"/>
      </w:pPr>
      <w:r>
        <w:rPr>
          <w:rFonts w:ascii="Times New Roman" w:cs="Times New Roman" w:eastAsia="Times New Roman" w:hAnsi="Times New Roman"/>
          <w:color w:val="CCCCCC"/>
          <w:sz w:val="18"/>
          <w:szCs w:val="18"/>
        </w:rPr>
        <w:t xml:space="preserve">─────────────────────────────────────────</w:t>
      </w:r>
    </w:p>
    <w:p>
      <w:pPr>
        <w:pStyle w:val="Heading2"/>
        <w:spacing w:after="120" w:before="300"/>
      </w:pPr>
      <w:r>
        <w:rPr>
          <w:rFonts w:ascii="Times New Roman" w:cs="Times New Roman" w:eastAsia="Times New Roman" w:hAnsi="Times New Roman"/>
          <w:b/>
          <w:bCs/>
          <w:color w:val="1B3A6B"/>
          <w:sz w:val="30"/>
          <w:szCs w:val="30"/>
        </w:rPr>
        <w:t xml:space="preserve">🎯 Challenge — Synthèse : construire une grille de repérage</w:t>
      </w:r>
    </w:p>
    <w:p>
      <w:pPr>
        <w:spacing w:after="80" w:before="80"/>
        <w:ind/>
      </w:pPr>
      <w:r>
        <w:rPr>
          <w:rFonts w:ascii="Times New Roman" w:cs="Times New Roman" w:eastAsia="Times New Roman" w:hAnsi="Times New Roman"/>
          <w:b w:val="false"/>
          <w:bCs w:val="false"/>
          <w:i w:val="false"/>
          <w:iCs w:val="false"/>
          <w:color w:val="1F2937"/>
          <w:sz w:val="22"/>
          <w:szCs w:val="22"/>
        </w:rPr>
        <w:t xml:space="preserve">Cet exercice de synthèse mobilise l'ensemble des contenus de la leçon.</w:t>
      </w:r>
    </w:p>
    <w:p>
      <w:pPr>
        <w:spacing w:after="80" w:before="80"/>
        <w:ind/>
      </w:pPr>
      <w:r>
        <w:rPr>
          <w:rFonts w:ascii="Times New Roman" w:cs="Times New Roman" w:eastAsia="Times New Roman" w:hAnsi="Times New Roman"/>
          <w:b w:val="false"/>
          <w:bCs w:val="false"/>
          <w:i w:val="false"/>
          <w:iCs w:val="false"/>
          <w:color w:val="1F2937"/>
          <w:sz w:val="22"/>
          <w:szCs w:val="22"/>
        </w:rPr>
        <w:t xml:space="preserve"/>
      </w:r>
    </w:p>
    <w:p>
      <w:pPr>
        <w:spacing w:after="80" w:before="80"/>
        <w:ind/>
      </w:pPr>
      <w:r>
        <w:rPr>
          <w:rFonts w:ascii="Times New Roman" w:cs="Times New Roman" w:eastAsia="Times New Roman" w:hAnsi="Times New Roman"/>
          <w:b w:val="false"/>
          <w:bCs w:val="false"/>
          <w:i w:val="false"/>
          <w:iCs w:val="false"/>
          <w:color w:val="1F2937"/>
          <w:sz w:val="22"/>
          <w:szCs w:val="22"/>
        </w:rPr>
        <w:t xml:space="preserve">Votre mission : Construire une grille de repérage à usage professionnel (non diagnostique) listant les signaux observables qui doivent alerter un professionnel éducatif et l'amener à solliciter un avis médical ou psychologique.</w:t>
      </w:r>
    </w:p>
    <w:p>
      <w:pPr>
        <w:spacing w:after="80" w:before="80"/>
        <w:ind/>
      </w:pPr>
      <w:r>
        <w:rPr>
          <w:rFonts w:ascii="Times New Roman" w:cs="Times New Roman" w:eastAsia="Times New Roman" w:hAnsi="Times New Roman"/>
          <w:b w:val="false"/>
          <w:bCs w:val="false"/>
          <w:i w:val="false"/>
          <w:iCs w:val="false"/>
          <w:color w:val="1F2937"/>
          <w:sz w:val="22"/>
          <w:szCs w:val="22"/>
        </w:rPr>
        <w:t xml:space="preserve"/>
      </w:r>
    </w:p>
    <w:p>
      <w:pPr>
        <w:spacing w:after="80" w:before="80"/>
        <w:ind/>
      </w:pPr>
      <w:r>
        <w:rPr>
          <w:rFonts w:ascii="Times New Roman" w:cs="Times New Roman" w:eastAsia="Times New Roman" w:hAnsi="Times New Roman"/>
          <w:b w:val="false"/>
          <w:bCs w:val="false"/>
          <w:i w:val="false"/>
          <w:iCs w:val="false"/>
          <w:color w:val="1F2937"/>
          <w:sz w:val="22"/>
          <w:szCs w:val="22"/>
        </w:rPr>
        <w:t xml:space="preserve">Organisez votre grille en quatre colonnes :</w:t>
      </w:r>
    </w:p>
    <w:p>
      <w:pPr>
        <w:pStyle w:val="ListParagraph"/>
        <w:numPr>
          <w:ilvl w:val="0"/>
          <w:numId w:val="1"/>
        </w:numPr>
        <w:spacing w:after="60" w:before="60"/>
        <w:ind w:left="576"/>
      </w:pPr>
      <w:r>
        <w:rPr>
          <w:rFonts w:ascii="Times New Roman" w:cs="Times New Roman" w:eastAsia="Times New Roman" w:hAnsi="Times New Roman"/>
          <w:color w:val="1F2937"/>
          <w:sz w:val="22"/>
          <w:szCs w:val="22"/>
        </w:rPr>
        <w:t xml:space="preserve">Ce que j'observe dans le comportement (ex. : réactions de sursaut, évitements répétés...)</w:t>
      </w:r>
    </w:p>
    <w:p>
      <w:pPr>
        <w:pStyle w:val="ListParagraph"/>
        <w:numPr>
          <w:ilvl w:val="0"/>
          <w:numId w:val="1"/>
        </w:numPr>
        <w:spacing w:after="60" w:before="60"/>
        <w:ind w:left="576"/>
      </w:pPr>
      <w:r>
        <w:rPr>
          <w:rFonts w:ascii="Times New Roman" w:cs="Times New Roman" w:eastAsia="Times New Roman" w:hAnsi="Times New Roman"/>
          <w:color w:val="1F2937"/>
          <w:sz w:val="22"/>
          <w:szCs w:val="22"/>
        </w:rPr>
        <w:t xml:space="preserve">Ce que la personne dit ou décrit (ex. : flashbacks, sentiment d'irréalité...)</w:t>
      </w:r>
    </w:p>
    <w:p>
      <w:pPr>
        <w:pStyle w:val="ListParagraph"/>
        <w:numPr>
          <w:ilvl w:val="0"/>
          <w:numId w:val="1"/>
        </w:numPr>
        <w:spacing w:after="60" w:before="60"/>
        <w:ind w:left="576"/>
      </w:pPr>
      <w:r>
        <w:rPr>
          <w:rFonts w:ascii="Times New Roman" w:cs="Times New Roman" w:eastAsia="Times New Roman" w:hAnsi="Times New Roman"/>
          <w:color w:val="1F2937"/>
          <w:sz w:val="22"/>
          <w:szCs w:val="22"/>
        </w:rPr>
        <w:t xml:space="preserve">Contexte qui renforce mon attention (ex. : histoire traumatique connue, contexte de violence...)</w:t>
      </w:r>
    </w:p>
    <w:p>
      <w:pPr>
        <w:pStyle w:val="ListParagraph"/>
        <w:numPr>
          <w:ilvl w:val="0"/>
          <w:numId w:val="1"/>
        </w:numPr>
        <w:spacing w:after="60" w:before="60"/>
        <w:ind w:left="576"/>
      </w:pPr>
      <w:r>
        <w:rPr>
          <w:rFonts w:ascii="Times New Roman" w:cs="Times New Roman" w:eastAsia="Times New Roman" w:hAnsi="Times New Roman"/>
          <w:color w:val="1F2937"/>
          <w:sz w:val="22"/>
          <w:szCs w:val="22"/>
        </w:rPr>
        <w:t xml:space="preserve">Action professionnelle adaptée (ex. : consigner, en parler en réunion clinique, orienter...)</w:t>
      </w:r>
    </w:p>
    <w:p>
      <w:pPr>
        <w:spacing w:after="80" w:before="80"/>
        <w:ind/>
      </w:pPr>
      <w:r>
        <w:rPr>
          <w:rFonts w:ascii="Times New Roman" w:cs="Times New Roman" w:eastAsia="Times New Roman" w:hAnsi="Times New Roman"/>
          <w:b w:val="false"/>
          <w:bCs w:val="false"/>
          <w:i w:val="false"/>
          <w:iCs w:val="false"/>
          <w:color w:val="1F2937"/>
          <w:sz w:val="22"/>
          <w:szCs w:val="22"/>
        </w:rPr>
        <w:t xml:space="preserve"/>
      </w:r>
    </w:p>
    <w:p>
      <w:pPr>
        <w:spacing w:after="80" w:before="80"/>
        <w:ind/>
      </w:pPr>
      <w:r>
        <w:rPr>
          <w:rFonts w:ascii="Times New Roman" w:cs="Times New Roman" w:eastAsia="Times New Roman" w:hAnsi="Times New Roman"/>
          <w:b w:val="false"/>
          <w:bCs w:val="false"/>
          <w:i w:val="false"/>
          <w:iCs w:val="false"/>
          <w:color w:val="1F2937"/>
          <w:sz w:val="22"/>
          <w:szCs w:val="22"/>
        </w:rPr>
        <w:t xml:space="preserve">Astuce de guidage : repassez mentalement sur les exercices 1, 2 et 3 — chaque symptôme identifié peut devenir une ligne de votre grille.</w:t>
      </w:r>
    </w:p>
    <w:p>
      <w:pPr>
        <w:spacing w:after="80" w:before="80"/>
        <w:ind/>
      </w:pPr>
      <w:r>
        <w:rPr>
          <w:rFonts w:ascii="Times New Roman" w:cs="Times New Roman" w:eastAsia="Times New Roman" w:hAnsi="Times New Roman"/>
          <w:b w:val="false"/>
          <w:bCs w:val="false"/>
          <w:i w:val="false"/>
          <w:iCs w:val="false"/>
          <w:color w:val="1F2937"/>
          <w:sz w:val="22"/>
          <w:szCs w:val="22"/>
        </w:rPr>
        <w:t xml:space="preserve"/>
      </w:r>
    </w:p>
    <w:p>
      <w:pPr>
        <w:spacing w:after="80" w:before="80"/>
        <w:ind/>
      </w:pPr>
      <w:r>
        <w:rPr>
          <w:rFonts w:ascii="Times New Roman" w:cs="Times New Roman" w:eastAsia="Times New Roman" w:hAnsi="Times New Roman"/>
          <w:b w:val="false"/>
          <w:bCs w:val="false"/>
          <w:i w:val="false"/>
          <w:iCs w:val="false"/>
          <w:color w:val="1F2937"/>
          <w:sz w:val="22"/>
          <w:szCs w:val="22"/>
        </w:rPr>
        <w:t xml:space="preserve">Pourquoi c'est important : dans un ESSMS, les professionnels éducatifs sont souvent les premiers à observer des changements comportementaux. Leur rôle n'est pas diagnostique, mais leur capacité de repérage et de transmission est déterminante pour la qualité de l'accompagnement et la sécurité des personnes.</w:t>
      </w:r>
    </w:p>
    <w:p>
      <w:pPr>
        <w:spacing w:after="160" w:before="160"/>
      </w:pPr>
      <w:r>
        <w:rPr>
          <w:rFonts w:ascii="Times New Roman" w:cs="Times New Roman" w:eastAsia="Times New Roman" w:hAnsi="Times New Roman"/>
          <w:color w:val="CCCCCC"/>
          <w:sz w:val="18"/>
          <w:szCs w:val="18"/>
        </w:rPr>
        <w:t xml:space="preserve">─────────────────────────────────────────</w:t>
      </w:r>
    </w:p>
    <w:p>
      <w:pPr>
        <w:pStyle w:val="Heading2"/>
        <w:spacing w:after="120" w:before="300"/>
      </w:pPr>
      <w:r>
        <w:rPr>
          <w:rFonts w:ascii="Times New Roman" w:cs="Times New Roman" w:eastAsia="Times New Roman" w:hAnsi="Times New Roman"/>
          <w:b/>
          <w:bCs/>
          <w:color w:val="1B3A6B"/>
          <w:sz w:val="30"/>
          <w:szCs w:val="30"/>
        </w:rPr>
        <w:t xml:space="preserve">🌉 Pont professionnel (chef de service en ESSMS)</w:t>
      </w:r>
    </w:p>
    <w:p>
      <w:pPr>
        <w:spacing w:after="80" w:before="80"/>
        <w:ind/>
      </w:pPr>
      <w:r>
        <w:rPr>
          <w:rFonts w:ascii="Times New Roman" w:cs="Times New Roman" w:eastAsia="Times New Roman" w:hAnsi="Times New Roman"/>
          <w:b w:val="false"/>
          <w:bCs w:val="false"/>
          <w:i w:val="false"/>
          <w:iCs w:val="false"/>
          <w:color w:val="1F2937"/>
          <w:sz w:val="22"/>
          <w:szCs w:val="22"/>
        </w:rPr>
        <w:t xml:space="preserve">Les personnes accompagnées en foyer d'hébergement (handicap mental et psychique) ont souvent des histoires de vie marquées par des traumatismes — maltraitances infantiles, violence institutionnelle passée, deuils traumatiques, ruptures répétées. Ces histoires ne sont pas toujours documentées dans le DUI.</w:t>
      </w:r>
    </w:p>
    <w:p>
      <w:pPr>
        <w:spacing w:after="80" w:before="80"/>
        <w:ind/>
      </w:pPr>
      <w:r>
        <w:rPr>
          <w:rFonts w:ascii="Times New Roman" w:cs="Times New Roman" w:eastAsia="Times New Roman" w:hAnsi="Times New Roman"/>
          <w:b w:val="false"/>
          <w:bCs w:val="false"/>
          <w:i w:val="false"/>
          <w:iCs w:val="false"/>
          <w:color w:val="1F2937"/>
          <w:sz w:val="22"/>
          <w:szCs w:val="22"/>
        </w:rPr>
        <w:t xml:space="preserve"/>
      </w:r>
    </w:p>
    <w:p>
      <w:pPr>
        <w:spacing w:after="80" w:before="80"/>
        <w:ind/>
      </w:pPr>
      <w:r>
        <w:rPr>
          <w:rFonts w:ascii="Times New Roman" w:cs="Times New Roman" w:eastAsia="Times New Roman" w:hAnsi="Times New Roman"/>
          <w:b w:val="false"/>
          <w:bCs w:val="false"/>
          <w:i w:val="false"/>
          <w:iCs w:val="false"/>
          <w:color w:val="1F2937"/>
          <w:sz w:val="22"/>
          <w:szCs w:val="22"/>
        </w:rPr>
        <w:t xml:space="preserve">Trois points d'attention concrets :</w:t>
      </w:r>
    </w:p>
    <w:p>
      <w:pPr>
        <w:pStyle w:val="ListParagraph"/>
        <w:numPr>
          <w:ilvl w:val="0"/>
          <w:numId w:val="1"/>
        </w:numPr>
        <w:spacing w:after="60" w:before="60"/>
        <w:ind w:left="576"/>
      </w:pPr>
      <w:r>
        <w:rPr>
          <w:rFonts w:ascii="Times New Roman" w:cs="Times New Roman" w:eastAsia="Times New Roman" w:hAnsi="Times New Roman"/>
          <w:color w:val="1F2937"/>
          <w:sz w:val="22"/>
          <w:szCs w:val="22"/>
        </w:rPr>
        <w:t xml:space="preserve">Comportements perturbateurs &amp; trauma : certains épisodes d'agitation, de repli, de mutisme ou de comportements auto-agressifs peuvent être des expressions dissociatives ou des reviviscences. Une lecture systémique (contexte, déclencheur) prime sur une réponse uniquement comportementale.</w:t>
      </w:r>
    </w:p>
    <w:p>
      <w:pPr>
        <w:pStyle w:val="ListParagraph"/>
        <w:numPr>
          <w:ilvl w:val="0"/>
          <w:numId w:val="1"/>
        </w:numPr>
        <w:spacing w:after="60" w:before="60"/>
        <w:ind w:left="576"/>
      </w:pPr>
      <w:r>
        <w:rPr>
          <w:rFonts w:ascii="Times New Roman" w:cs="Times New Roman" w:eastAsia="Times New Roman" w:hAnsi="Times New Roman"/>
          <w:color w:val="1F2937"/>
          <w:sz w:val="22"/>
          <w:szCs w:val="22"/>
        </w:rPr>
        <w:t xml:space="preserve">Formation de l'équipe : sensibiliser les professionnels à la notion de « care traumainformé » (trauma-informed care) améliore la qualité de l'accompagnement et réduit les risques de revictimisation involontaire (ex. : gestes brusques, ton autoritaire dans un contexte de crise).</w:t>
      </w:r>
    </w:p>
    <w:p>
      <w:pPr>
        <w:pStyle w:val="ListParagraph"/>
        <w:numPr>
          <w:ilvl w:val="0"/>
          <w:numId w:val="1"/>
        </w:numPr>
        <w:spacing w:after="60" w:before="60"/>
        <w:ind w:left="576"/>
      </w:pPr>
      <w:r>
        <w:rPr>
          <w:rFonts w:ascii="Times New Roman" w:cs="Times New Roman" w:eastAsia="Times New Roman" w:hAnsi="Times New Roman"/>
          <w:color w:val="1F2937"/>
          <w:sz w:val="22"/>
          <w:szCs w:val="22"/>
        </w:rPr>
        <w:t xml:space="preserve">Coordination : tout signe de reviviscence ou de dissociation répétitive doit être documenté et transmis au médecin ou psychologue du dispositif — c'est la limite de l'observation éducative.</w:t>
      </w:r>
    </w:p>
    <w:p>
      <w:pPr>
        <w:spacing w:after="160" w:before="160"/>
      </w:pPr>
      <w:r>
        <w:rPr>
          <w:rFonts w:ascii="Times New Roman" w:cs="Times New Roman" w:eastAsia="Times New Roman" w:hAnsi="Times New Roman"/>
          <w:color w:val="CCCCCC"/>
          <w:sz w:val="18"/>
          <w:szCs w:val="18"/>
        </w:rPr>
        <w:t xml:space="preserve">─────────────────────────────────────────</w:t>
      </w:r>
    </w:p>
    <w:p>
      <w:pPr>
        <w:pStyle w:val="Heading2"/>
        <w:spacing w:after="120" w:before="300"/>
      </w:pPr>
      <w:r>
        <w:rPr>
          <w:rFonts w:ascii="Times New Roman" w:cs="Times New Roman" w:eastAsia="Times New Roman" w:hAnsi="Times New Roman"/>
          <w:b/>
          <w:bCs/>
          <w:color w:val="1B3A6B"/>
          <w:sz w:val="30"/>
          <w:szCs w:val="30"/>
        </w:rPr>
        <w:t xml:space="preserve">📚 Ressources pour approfondir</w:t>
      </w:r>
    </w:p>
    <w:p>
      <w:pPr>
        <w:spacing w:after="80" w:before="80"/>
        <w:ind/>
      </w:pPr>
      <w:r>
        <w:rPr>
          <w:rFonts w:ascii="Times New Roman" w:cs="Times New Roman" w:eastAsia="Times New Roman" w:hAnsi="Times New Roman"/>
          <w:b w:val="false"/>
          <w:bCs w:val="false"/>
          <w:i w:val="false"/>
          <w:iCs w:val="false"/>
          <w:color w:val="1F2937"/>
          <w:sz w:val="22"/>
          <w:szCs w:val="22"/>
        </w:rPr>
        <w:t xml:space="preserve">Toutes les URLs ont été testées et sont accessibles au 24/08/2026 :</w:t>
      </w:r>
    </w:p>
    <w:p>
      <w:pPr>
        <w:spacing w:after="80" w:before="80"/>
        <w:ind/>
      </w:pPr>
      <w:r>
        <w:rPr>
          <w:rFonts w:ascii="Times New Roman" w:cs="Times New Roman" w:eastAsia="Times New Roman" w:hAnsi="Times New Roman"/>
          <w:b w:val="false"/>
          <w:bCs w:val="false"/>
          <w:i w:val="false"/>
          <w:iCs w:val="false"/>
          <w:color w:val="1F2937"/>
          <w:sz w:val="22"/>
          <w:szCs w:val="22"/>
        </w:rPr>
        <w:t xml:space="preserve"/>
      </w:r>
    </w:p>
    <w:p>
      <w:pPr>
        <w:spacing w:after="60" w:before="60"/>
        <w:ind w:left="288"/>
      </w:pPr>
      <w:r>
        <w:rPr>
          <w:rFonts w:ascii="Times New Roman" w:cs="Times New Roman" w:eastAsia="Times New Roman" w:hAnsi="Times New Roman"/>
          <w:color w:val="1F2937"/>
          <w:sz w:val="22"/>
          <w:szCs w:val="22"/>
        </w:rPr>
        <w:t xml:space="preserve">• </w:t>
      </w:r>
      <w:hyperlink w:history="1" r:id="rIdp0w5s_ngmz7stjnaw58p6">
        <w:r>
          <w:rPr>
            <w:rFonts w:ascii="Times New Roman" w:cs="Times New Roman" w:eastAsia="Times New Roman" w:hAnsi="Times New Roman"/>
            <w:color w:val="1155CC"/>
            <w:sz w:val="22"/>
            <w:szCs w:val="22"/>
            <w:u w:val="single"/>
          </w:rPr>
          <w:t xml:space="preserve">Wikipedia — Post-traumatic stress disorder (EN) : vue d'ensemble utile pour se repérer, mais source tertiaire — ne pas la citer comme référence dans un écrit professionnel</w:t>
        </w:r>
      </w:hyperlink>
    </w:p>
    <w:p>
      <w:pPr>
        <w:spacing w:after="60" w:before="60"/>
        <w:ind w:left="288"/>
      </w:pPr>
      <w:r>
        <w:rPr>
          <w:rFonts w:ascii="Times New Roman" w:cs="Times New Roman" w:eastAsia="Times New Roman" w:hAnsi="Times New Roman"/>
          <w:color w:val="1F2937"/>
          <w:sz w:val="22"/>
          <w:szCs w:val="22"/>
        </w:rPr>
        <w:t xml:space="preserve">• </w:t>
      </w:r>
      <w:hyperlink w:history="1" r:id="rIdhpitspygcdoqi9iuavkzc">
        <w:r>
          <w:rPr>
            <w:rFonts w:ascii="Times New Roman" w:cs="Times New Roman" w:eastAsia="Times New Roman" w:hAnsi="Times New Roman"/>
            <w:color w:val="1155CC"/>
            <w:sz w:val="22"/>
            <w:szCs w:val="22"/>
            <w:u w:val="single"/>
          </w:rPr>
          <w:t xml:space="preserve">Wikipedia — Dissociative disorder (EN) : même statut — orientation, pas référence</w:t>
        </w:r>
      </w:hyperlink>
    </w:p>
    <w:p>
      <w:pPr>
        <w:spacing w:after="60" w:before="60"/>
        <w:ind w:left="288"/>
      </w:pPr>
      <w:r>
        <w:rPr>
          <w:rFonts w:ascii="Times New Roman" w:cs="Times New Roman" w:eastAsia="Times New Roman" w:hAnsi="Times New Roman"/>
          <w:color w:val="1F2937"/>
          <w:sz w:val="22"/>
          <w:szCs w:val="22"/>
        </w:rPr>
        <w:t xml:space="preserve">• </w:t>
      </w:r>
      <w:hyperlink w:history="1" r:id="rIdpo-w9xze8pxe49jzh5413">
        <w:r>
          <w:rPr>
            <w:rFonts w:ascii="Times New Roman" w:cs="Times New Roman" w:eastAsia="Times New Roman" w:hAnsi="Times New Roman"/>
            <w:color w:val="1155CC"/>
            <w:sz w:val="22"/>
            <w:szCs w:val="22"/>
            <w:u w:val="single"/>
          </w:rPr>
          <w:t xml:space="preserve">MSD Manuals FR — Sous-type dissociatif du TSPT : critères, prévalence, traitement</w:t>
        </w:r>
      </w:hyperlink>
    </w:p>
    <w:p>
      <w:pPr>
        <w:spacing w:after="60" w:before="60"/>
        <w:ind w:left="288"/>
      </w:pPr>
      <w:r>
        <w:rPr>
          <w:rFonts w:ascii="Times New Roman" w:cs="Times New Roman" w:eastAsia="Times New Roman" w:hAnsi="Times New Roman"/>
          <w:color w:val="1F2937"/>
          <w:sz w:val="22"/>
          <w:szCs w:val="22"/>
        </w:rPr>
        <w:t xml:space="preserve">• </w:t>
      </w:r>
      <w:hyperlink w:history="1" r:id="rIdatqybehuvoypr-m-tru3l">
        <w:r>
          <w:rPr>
            <w:rFonts w:ascii="Times New Roman" w:cs="Times New Roman" w:eastAsia="Times New Roman" w:hAnsi="Times New Roman"/>
            <w:color w:val="1155CC"/>
            <w:sz w:val="22"/>
            <w:szCs w:val="22"/>
            <w:u w:val="single"/>
          </w:rPr>
          <w:t xml:space="preserve">IFEMDR — ESA et ESPT dans le DSM-5 : critères détaillés, clusters, innovations</w:t>
        </w:r>
      </w:hyperlink>
    </w:p>
    <w:p>
      <w:pPr>
        <w:spacing w:after="60" w:before="60"/>
        <w:ind w:left="288"/>
      </w:pPr>
      <w:r>
        <w:rPr>
          <w:rFonts w:ascii="Times New Roman" w:cs="Times New Roman" w:eastAsia="Times New Roman" w:hAnsi="Times New Roman"/>
          <w:color w:val="1F2937"/>
          <w:sz w:val="22"/>
          <w:szCs w:val="22"/>
        </w:rPr>
        <w:t xml:space="preserve">• </w:t>
      </w:r>
      <w:hyperlink w:history="1" r:id="rId9c2mbdpeawxbt_qrqncen">
        <w:r>
          <w:rPr>
            <w:rFonts w:ascii="Times New Roman" w:cs="Times New Roman" w:eastAsia="Times New Roman" w:hAnsi="Times New Roman"/>
            <w:color w:val="1155CC"/>
            <w:sz w:val="22"/>
            <w:szCs w:val="22"/>
            <w:u w:val="single"/>
          </w:rPr>
          <w:t xml:space="preserve">IFEMDR — Stabilisation et traitement par phases pour le TSPT : revue systématique et méta-analyse</w:t>
        </w:r>
      </w:hyperlink>
    </w:p>
    <w:p>
      <w:pPr>
        <w:spacing w:after="60" w:before="60"/>
        <w:ind w:left="288"/>
      </w:pPr>
      <w:r>
        <w:rPr>
          <w:rFonts w:ascii="Times New Roman" w:cs="Times New Roman" w:eastAsia="Times New Roman" w:hAnsi="Times New Roman"/>
          <w:color w:val="1F2937"/>
          <w:sz w:val="22"/>
          <w:szCs w:val="22"/>
        </w:rPr>
        <w:t xml:space="preserve">• </w:t>
      </w:r>
      <w:hyperlink w:history="1" r:id="rIdnfsm-5b0fwnlrxgjvmv7r">
        <w:r>
          <w:rPr>
            <w:rFonts w:ascii="Times New Roman" w:cs="Times New Roman" w:eastAsia="Times New Roman" w:hAnsi="Times New Roman"/>
            <w:color w:val="1155CC"/>
            <w:sz w:val="22"/>
            <w:szCs w:val="22"/>
            <w:u w:val="single"/>
          </w:rPr>
          <w:t xml:space="preserve">TraumaPsyInfo — Les livres de référence sur le psychotraumatisme et le TSPT (bibliographie commentée FR)</w:t>
        </w:r>
      </w:hyperlink>
    </w:p>
    <w:p>
      <w:pPr>
        <w:spacing w:after="80" w:before="80"/>
        <w:ind/>
      </w:pPr>
      <w:r>
        <w:rPr>
          <w:rFonts w:ascii="Times New Roman" w:cs="Times New Roman" w:eastAsia="Times New Roman" w:hAnsi="Times New Roman"/>
          <w:b w:val="false"/>
          <w:bCs w:val="false"/>
          <w:i w:val="false"/>
          <w:iCs w:val="false"/>
          <w:color w:val="1F2937"/>
          <w:sz w:val="22"/>
          <w:szCs w:val="22"/>
        </w:rPr>
        <w:t xml:space="preserve"/>
      </w:r>
    </w:p>
    <w:p>
      <w:pPr>
        <w:spacing w:after="80" w:before="80"/>
        <w:ind/>
      </w:pPr>
      <w:r>
        <w:rPr>
          <w:rFonts w:ascii="Times New Roman" w:cs="Times New Roman" w:eastAsia="Times New Roman" w:hAnsi="Times New Roman"/>
          <w:b w:val="false"/>
          <w:bCs w:val="false"/>
          <w:i/>
          <w:iCs/>
          <w:color w:val="1F2937"/>
          <w:sz w:val="22"/>
          <w:szCs w:val="22"/>
        </w:rPr>
        <w:p>
          <w:pPr>
            <w:spacing w:after="80" w:before="80"/>
          </w:pPr>
          <w:r>
            <w:rPr>
              <w:rFonts w:ascii="Times New Roman" w:cs="Times New Roman" w:eastAsia="Times New Roman" w:hAnsi="Times New Roman"/>
              <w:b w:val="false"/>
              <w:bCs w:val="false"/>
              <w:color w:val="1F2937"/>
              <w:sz w:val="22"/>
              <w:szCs w:val="22"/>
            </w:rPr>
            <w:t xml:space="preserve">Sources institutionnelles françaises — ajoutées le 24/08/2026, testées ce jour (200) :</w:t>
          </w:r>
        </w:p>
        <w:p>
          <w:pPr>
            <w:spacing w:after="60" w:before="60"/>
            <w:ind w:left="288"/>
          </w:pPr>
          <w:r>
            <w:rPr>
              <w:rFonts w:ascii="Times New Roman" w:cs="Times New Roman" w:eastAsia="Times New Roman" w:hAnsi="Times New Roman"/>
              <w:color w:val="1F2937"/>
              <w:sz w:val="22"/>
              <w:szCs w:val="22"/>
            </w:rPr>
            <w:t xml:space="preserve">• </w:t>
          </w:r>
          <w:hyperlink w:history="1" r:id="rIdhasnotecadrage2020ps">
            <w:r>
              <w:rPr>
                <w:rFonts w:ascii="Times New Roman" w:cs="Times New Roman" w:eastAsia="Times New Roman" w:hAnsi="Times New Roman"/>
                <w:color w:val="1155CC"/>
                <w:sz w:val="22"/>
                <w:szCs w:val="22"/>
                <w:u w:val="single"/>
              </w:rPr>
              <w:t xml:space="preserve">HAS — Évaluation et prise en charge des syndromes psychotraumatiques, enfants et adultes : note de cadrage (validée le 14/10/2020). La recommandation de bonne pratique elle-même est TOUJOURS EN COURS d'élaboration — la note fixe le périmètre, et cite explicitement les établissements médico-sociaux parmi les structures visées.</w:t>
            </w:r>
          </w:hyperlink>
        </w:p>
        <w:p>
          <w:pPr>
            <w:spacing w:after="60" w:before="60"/>
            <w:ind w:left="288"/>
          </w:pPr>
          <w:r>
            <w:rPr>
              <w:rFonts w:ascii="Times New Roman" w:cs="Times New Roman" w:eastAsia="Times New Roman" w:hAnsi="Times New Roman"/>
              <w:color w:val="1F2937"/>
              <w:sz w:val="22"/>
              <w:szCs w:val="22"/>
            </w:rPr>
            <w:t xml:space="preserve">• </w:t>
          </w:r>
          <w:hyperlink w:history="1" r:id="rIdcn2rressourcespsytr">
            <w:r>
              <w:rPr>
                <w:rFonts w:ascii="Times New Roman" w:cs="Times New Roman" w:eastAsia="Times New Roman" w:hAnsi="Times New Roman"/>
                <w:color w:val="1155CC"/>
                <w:sz w:val="22"/>
                <w:szCs w:val="22"/>
                <w:u w:val="single"/>
              </w:rPr>
              <w:t xml:space="preserve">CN2R — Centre national de ressources et de résilience : l'institution française de référence sur le psychotraumatisme (créée en juillet 2019). Fiches pratiques destinées aux professionnels de terrain et cartographie des structures spécialisées.</w:t>
            </w:r>
          </w:hyperlink>
        </w:p>
        <w:t xml:space="preserve">Source consultée avec blocage anti-robot (403, page existante) :</w:t>
      </w:r>
    </w:p>
    <w:p>
      <w:pPr>
        <w:spacing w:after="60" w:before="60"/>
        <w:ind w:left="288"/>
      </w:pPr>
      <w:r>
        <w:rPr>
          <w:rFonts w:ascii="Times New Roman" w:cs="Times New Roman" w:eastAsia="Times New Roman" w:hAnsi="Times New Roman"/>
          <w:color w:val="1F2937"/>
          <w:sz w:val="22"/>
          <w:szCs w:val="22"/>
        </w:rPr>
        <w:t xml:space="preserve">• </w:t>
      </w:r>
      <w:hyperlink w:history="1" r:id="rId050mydzj7un5p0cviy-z_">
        <w:r>
          <w:rPr>
            <w:rFonts w:ascii="Times New Roman" w:cs="Times New Roman" w:eastAsia="Times New Roman" w:hAnsi="Times New Roman"/>
            <w:color w:val="1155CC"/>
            <w:sz w:val="22"/>
            <w:szCs w:val="22"/>
            <w:u w:val="single"/>
          </w:rPr>
          <w:t xml:space="preserve">Cairn.info — Traité clinique du psychotraumatisme (Tarquinio et al., Dunod 2025) — Chap. 1 : TSA et TSPT</w:t>
        </w:r>
      </w:hyperlink>
    </w:p>
    <w:p>
      <w:pPr>
        <w:spacing w:after="160" w:before="160"/>
      </w:pPr>
      <w:r>
        <w:rPr>
          <w:rFonts w:ascii="Times New Roman" w:cs="Times New Roman" w:eastAsia="Times New Roman" w:hAnsi="Times New Roman"/>
          <w:color w:val="CCCCCC"/>
          <w:sz w:val="18"/>
          <w:szCs w:val="18"/>
        </w:rPr>
        <w:t xml:space="preserve">─────────────────────────────────────────</w:t>
      </w:r>
    </w:p>
    <w:p>
      <w:pPr>
        <w:pStyle w:val="Heading2"/>
        <w:spacing w:after="120" w:before="300"/>
      </w:pPr>
      <w:r>
        <w:rPr>
          <w:rFonts w:ascii="Times New Roman" w:cs="Times New Roman" w:eastAsia="Times New Roman" w:hAnsi="Times New Roman"/>
          <w:b/>
          <w:bCs/>
          <w:color w:val="1B3A6B"/>
          <w:sz w:val="30"/>
          <w:szCs w:val="30"/>
        </w:rPr>
        <w:t xml:space="preserve">🔜 Prochaine leçon : n°13</w:t>
      </w:r>
    </w:p>
    <w:p>
      <w:pPr>
        <w:spacing w:after="80" w:before="80"/>
        <w:ind/>
      </w:pPr>
      <w:r>
        <w:rPr>
          <w:rFonts w:ascii="Times New Roman" w:cs="Times New Roman" w:eastAsia="Times New Roman" w:hAnsi="Times New Roman"/>
          <w:b w:val="false"/>
          <w:bCs w:val="false"/>
          <w:i w:val="false"/>
          <w:iCs w:val="false"/>
          <w:color w:val="1F2937"/>
          <w:sz w:val="22"/>
          <w:szCs w:val="22"/>
        </w:rPr>
        <w:t xml:space="preserve">Thème : Troubles neurocognitifs et psychopathologie du vieillissement</w:t>
      </w:r>
    </w:p>
    <w:p>
      <w:pPr>
        <w:spacing w:after="80" w:before="80"/>
        <w:ind/>
      </w:pPr>
      <w:r>
        <w:rPr>
          <w:rFonts w:ascii="Times New Roman" w:cs="Times New Roman" w:eastAsia="Times New Roman" w:hAnsi="Times New Roman"/>
          <w:b w:val="false"/>
          <w:bCs w:val="false"/>
          <w:i w:val="false"/>
          <w:iCs w:val="false"/>
          <w:color w:val="1F2937"/>
          <w:sz w:val="22"/>
          <w:szCs w:val="22"/>
        </w:rPr>
        <w:t xml:space="preserve">Au programme : démences (maladie d'Alzheimer, démences vasculaires, DFT, DCL), délirium, dépression du sujet âgé, vieillissement normal vs pathologique. Pont vers l'accompagnement des personnes âgées en ESSMS et la détection précoce.</w:t>
      </w:r>
    </w:p>
    <w:p>
      <w:pPr>
        <w:spacing w:after="160" w:before="160"/>
      </w:pPr>
      <w:r>
        <w:rPr>
          <w:rFonts w:ascii="Times New Roman" w:cs="Times New Roman" w:eastAsia="Times New Roman" w:hAnsi="Times New Roman"/>
          <w:color w:val="CCCCCC"/>
          <w:sz w:val="18"/>
          <w:szCs w:val="18"/>
        </w:rPr>
        <w:t xml:space="preserve">─────────────────────────────────────────</w:t>
      </w:r>
    </w:p>
    <w:p>
      <w:pPr>
        <w:spacing w:before="200"/>
        <w:jc w:val="center"/>
      </w:pPr>
      <w:r>
        <w:rPr>
          <w:rFonts w:ascii="Times New Roman" w:cs="Times New Roman" w:eastAsia="Times New Roman" w:hAnsi="Times New Roman"/>
          <w:i/>
          <w:iCs/>
          <w:color w:val="9CA3AF"/>
          <w:sz w:val="18"/>
          <w:szCs w:val="18"/>
        </w:rPr>
        <w:t xml:space="preserve">Leçon 12 / 20 — Psychopathologie clinique — 24 août 2026</w:t>
      </w:r>
    </w:p>
    <w:p>
      <w:pPr>
        <w:spacing w:after="120" w:before="320"/>
      </w:pPr>
      <w:r>
        <w:rPr>
          <w:rFonts w:ascii="Times New Roman" w:cs="Times New Roman" w:eastAsia="Times New Roman" w:hAnsi="Times New Roman"/>
          <w:b/>
          <w:bCs/>
          <w:color w:val="1B3A6B"/>
          <w:sz w:val="28"/>
          <w:szCs w:val="28"/>
        </w:rPr>
        <w:t xml:space="preserve">📝 Journal des corrections</w:t>
      </w:r>
    </w:p>
    <w:p>
      <w:pPr>
        <w:spacing w:after="80" w:before="80"/>
      </w:pPr>
      <w:r>
        <w:rPr>
          <w:rFonts w:ascii="Times New Roman" w:cs="Times New Roman" w:eastAsia="Times New Roman" w:hAnsi="Times New Roman"/>
          <w:b w:val="false"/>
          <w:bCs w:val="false"/>
          <w:color w:val="1F2937"/>
          <w:sz w:val="22"/>
          <w:szCs w:val="22"/>
        </w:rPr>
        <w:t xml:space="preserve">Leçon produite et relue le 24/08/2026. Les corrections sont fondues dans le texte ci-dessus ; les formulations d'origine sont conservées ici.</w:t>
      </w:r>
    </w:p>
    <w:p>
      <w:pPr>
        <w:spacing w:after="80" w:before="80"/>
      </w:pPr>
      <w:r>
        <w:rPr>
          <w:rFonts w:ascii="Times New Roman" w:cs="Times New Roman" w:eastAsia="Times New Roman" w:hAnsi="Times New Roman"/>
          <w:b w:val="false"/>
          <w:bCs w:val="false"/>
          <w:color w:val="1F2937"/>
          <w:sz w:val="22"/>
          <w:szCs w:val="22"/>
        </w:rPr>
        <w:t xml:space="preserve">1. Limite de rôle dans l'exercice 3, situation 4 — la correction la plus importante.</w:t>
      </w:r>
    </w:p>
    <w:p>
      <w:pPr>
        <w:spacing w:after="80" w:before="80"/>
      </w:pPr>
      <w:r>
        <w:rPr>
          <w:rFonts w:ascii="Times New Roman" w:cs="Times New Roman" w:eastAsia="Times New Roman" w:hAnsi="Times New Roman"/>
          <w:b w:val="false"/>
          <w:bCs w:val="false"/>
          <w:color w:val="1F2937"/>
          <w:sz w:val="22"/>
          <w:szCs w:val="22"/>
        </w:rPr>
        <w:t xml:space="preserve">Version initiale du corrigé : « probablement réaction dissociative transitoire au stress, mais à surveiller si répétitive ». La situation décrit une PROFESSIONNELLE, pas une personne accompagnée, et l'exercice s'adresse à son encadrant. « À surveiller » installait un suivi clinique d'un membre de l'équipe par son chef de service, ce qui n'est ni son rôle ni son droit. Le corrigé rappelle désormais que la santé d'un salarié relève du service de prévention et de santé au travail, saisissable directement et sans passer par la hiérarchie, et que le rôle de l'encadrant se limite à ce qui dépend de lui : organisation, charge, cadre de l'entretien. Repérer n'autorise pas à suivre.</w:t>
      </w:r>
    </w:p>
    <w:p>
      <w:pPr>
        <w:spacing w:after="80" w:before="80"/>
      </w:pPr>
      <w:r>
        <w:rPr>
          <w:rFonts w:ascii="Times New Roman" w:cs="Times New Roman" w:eastAsia="Times New Roman" w:hAnsi="Times New Roman"/>
          <w:b w:val="false"/>
          <w:bCs w:val="false"/>
          <w:color w:val="1F2937"/>
          <w:sz w:val="22"/>
          <w:szCs w:val="22"/>
        </w:rPr>
        <w:t xml:space="preserve">2. Statut de la contre-indication de l'exposition directe.</w:t>
      </w:r>
    </w:p>
    <w:p>
      <w:pPr>
        <w:spacing w:after="80" w:before="80"/>
      </w:pPr>
      <w:r>
        <w:rPr>
          <w:rFonts w:ascii="Times New Roman" w:cs="Times New Roman" w:eastAsia="Times New Roman" w:hAnsi="Times New Roman"/>
          <w:b w:val="false"/>
          <w:bCs w:val="false"/>
          <w:color w:val="1F2937"/>
          <w:sz w:val="22"/>
          <w:szCs w:val="22"/>
        </w:rPr>
        <w:t xml:space="preserve">Version initiale : « L'exposition directe est contre-indiquée en phase de déstabilisation dissociative. » Présenté comme un fait établi. La méta-analyse que la leçon cite elle-même en ressources (IFEMDR, stabilisation et traitement orienté par phase) conclut à un effet important du traitement par phases (d = 1,32) et à des « preuves provisoires » de sa supériorité sur la stabilisation seule (d = 0,45) ; elle ne se prononce pas sur une contre-indication. Le passage distingue maintenant la règle de prudence clinique, largement partagée, de la donnée démontrée, et renvoie la décision au praticien. Source relue le 24/08/2026.</w:t>
      </w:r>
    </w:p>
    <w:p>
      <w:pPr>
        <w:spacing w:after="80" w:before="80"/>
      </w:pPr>
      <w:r>
        <w:rPr>
          <w:rFonts w:ascii="Times New Roman" w:cs="Times New Roman" w:eastAsia="Times New Roman" w:hAnsi="Times New Roman"/>
          <w:b w:val="false"/>
          <w:bCs w:val="false"/>
          <w:color w:val="1F2937"/>
          <w:sz w:val="22"/>
          <w:szCs w:val="22"/>
        </w:rPr>
        <w:t xml:space="preserve">3. Sources — deux références institutionnelles ajoutées, Wikipédia rétrogradée.</w:t>
      </w:r>
    </w:p>
    <w:p>
      <w:pPr>
        <w:spacing w:after="80" w:before="80"/>
      </w:pPr>
      <w:r>
        <w:rPr>
          <w:rFonts w:ascii="Times New Roman" w:cs="Times New Roman" w:eastAsia="Times New Roman" w:hAnsi="Times New Roman"/>
          <w:b w:val="false"/>
          <w:bCs w:val="false"/>
          <w:color w:val="1F2937"/>
          <w:sz w:val="22"/>
          <w:szCs w:val="22"/>
        </w:rPr>
        <w:t xml:space="preserve">Les deux premières ressources étaient des pages Wikipédia en anglais, et aucune source institutionnelle française n'apparaissait sur un thème qui touche directement la pratique en ESSMS. Ont été ajoutées, testées le 24/08/2026 (200) : la note de cadrage de la HAS « Évaluation et prise en charge des syndromes psychotraumatiques, enfants et adultes » (validée le 14/10/2020), dont le périmètre cite explicitement les établissements médico-sociaux et dont la recommandation de bonne pratique est TOUJOURS EN COURS d'élaboration ; et le CN2R, institution française de référence créée en juillet 2019, qui publie des fiches pratiques pour les professionnels de terrain. Les deux entrées Wikipédia sont conservées mais signalées comme sources tertiaires d'orientation, à ne pas citer dans un écrit professionnel.</w:t>
      </w:r>
    </w:p>
    <w:p>
      <w:pPr>
        <w:spacing w:after="80" w:before="80"/>
      </w:pPr>
      <w:r>
        <w:rPr>
          <w:rFonts w:ascii="Times New Roman" w:cs="Times New Roman" w:eastAsia="Times New Roman" w:hAnsi="Times New Roman"/>
          <w:b w:val="false"/>
          <w:bCs w:val="false"/>
          <w:color w:val="1F2937"/>
          <w:sz w:val="22"/>
          <w:szCs w:val="22"/>
        </w:rPr>
        <w:t xml:space="preserve">Vérifié lors de la relecture et inchangé : le critère A du DSM-5 ; les quatre clusters B, C, D et E et leur contenu, y compris l'amnésie partielle du trauma en cluster D ; les seuils de durée (ESA de 3 jours à 4 semaines, TSPT au-delà d'un mois, expression différée au-delà de 6 mois) ; le code 6B41 de la CIM-11 pour le TSPT complexe et ses trois perturbations de l'organisation du soi ; la recommandation de l'EMDR par l'OMS ; et les deux corrigés de vignettes des exercices 1 et 2.</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p0w5s_ngmz7stjnaw58p6" Type="http://schemas.openxmlformats.org/officeDocument/2006/relationships/hyperlink" Target="https://en.wikipedia.org/wiki/Post-traumatic_stress_disorder" TargetMode="External"/><Relationship Id="rIdhpitspygcdoqi9iuavkzc" Type="http://schemas.openxmlformats.org/officeDocument/2006/relationships/hyperlink" Target="https://en.wikipedia.org/wiki/Dissociative_disorder" TargetMode="External"/><Relationship Id="rIdpo-w9xze8pxe49jzh5413" Type="http://schemas.openxmlformats.org/officeDocument/2006/relationships/hyperlink" Target="https://www.msdmanuals.com/fr/professional/troubles-psychiatriques/troubles-dissociatifs/sous-type-dissociatif-du-trouble-de-stress-post-traumatique" TargetMode="External"/><Relationship Id="rIdatqybehuvoypr-m-tru3l" Type="http://schemas.openxmlformats.org/officeDocument/2006/relationships/hyperlink" Target="https://www.ifemdr.fr/esa-et-espt-dans-le-dsm-5/" TargetMode="External"/><Relationship Id="rId9c2mbdpeawxbt_qrqncen" Type="http://schemas.openxmlformats.org/officeDocument/2006/relationships/hyperlink" Target="https://www.ifemdr.fr/stabilisation-et-traitement-psychologique-oriente-par-phase-pour-le-tspt-une-revue-systematique-et-une-meta-analyse/" TargetMode="External"/><Relationship Id="rIdnfsm-5b0fwnlrxgjvmv7r" Type="http://schemas.openxmlformats.org/officeDocument/2006/relationships/hyperlink" Target="https://traumapsyinfo.fr/les-livres-de-reference-sur-le-psychotraumatisme-et-le-tspt/" TargetMode="External"/><Relationship Id="rId050mydzj7un5p0cviy-z_" Type="http://schemas.openxmlformats.org/officeDocument/2006/relationships/hyperlink" Target="https://shs.cairn.info/traite-clinique-du-psychotraumatisme--9782100860869-page-33?lang=fr" TargetMode="External"/><Relationship Id="rIdhasnotecadrage2020ps" Type="http://schemas.openxmlformats.org/officeDocument/2006/relationships/hyperlink" Target="https://www.has-sante.fr/jcms/p_3215922/fr/evaluation-et-prise-en-charge-des-syndromes-psychotraumatiques-enfants-et-adultes-note-de-cadrage" TargetMode="External"/><Relationship Id="rIdcn2rressourcespsytr" Type="http://schemas.openxmlformats.org/officeDocument/2006/relationships/hyperlink" Target="https://cn2r.fr/ressources/" TargetMode="External"/><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Leçon Psychopathologie clinique n°12 — Psychotraumatisme, TSPT et trouble dissociatif</dc:title>
  <dc:creator>Claude – Job psychopathologie-lecon</dc:creator>
  <cp:lastModifiedBy>Un-named</cp:lastModifiedBy>
  <cp:revision>1</cp:revision>
  <dcterms:created xsi:type="dcterms:W3CDTF">2026-08-24T06:08:09.913Z</dcterms:created>
  <dcterms:modified xsi:type="dcterms:W3CDTF">2026-08-24T06:08:11.343Z</dcterms:modified>
</cp:coreProperties>
</file>

<file path=docProps/custom.xml><?xml version="1.0" encoding="utf-8"?>
<Properties xmlns="http://schemas.openxmlformats.org/officeDocument/2006/custom-properties" xmlns:vt="http://schemas.openxmlformats.org/officeDocument/2006/docPropsVTypes"/>
</file>