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Psychopathologie clinique n°06</w:t>
      </w:r>
    </w:p>
    <w:p>
      <w:pPr>
        <w:pStyle w:val="Heading1"/>
        <w:spacing w:after="200" w:before="200"/>
        <w:jc w:val="center"/>
      </w:pPr>
      <w:r>
        <w:rPr>
          <w:rFonts w:ascii="Times New Roman" w:cs="Times New Roman" w:eastAsia="Times New Roman" w:hAnsi="Times New Roman"/>
          <w:b/>
          <w:bCs/>
          <w:color w:val="1B3A6B"/>
          <w:sz w:val="52"/>
          <w:szCs w:val="52"/>
        </w:rPr>
        <w:t xml:space="preserve">Les troubles de l'humeur</w:t>
      </w:r>
    </w:p>
    <w:p>
      <w:pPr>
        <w:pStyle w:val="Heading1"/>
        <w:spacing w:after="200" w:before="200"/>
        <w:jc w:val="center"/>
      </w:pPr>
      <w:r>
        <w:rPr>
          <w:rFonts w:ascii="Times New Roman" w:cs="Times New Roman" w:eastAsia="Times New Roman" w:hAnsi="Times New Roman"/>
          <w:b/>
          <w:bCs/>
          <w:color w:val="1B3A6B"/>
          <w:sz w:val="52"/>
          <w:szCs w:val="52"/>
        </w:rPr>
        <w:t xml:space="preserve">Épisodes dépressifs et troubles bipolaires</w:t>
      </w:r>
    </w:p>
    <w:p>
      <w:pPr>
        <w:spacing w:after="60" w:before="100"/>
        <w:jc w:val="center"/>
      </w:pPr>
      <w:r>
        <w:rPr>
          <w:rFonts w:ascii="Times New Roman" w:cs="Times New Roman" w:eastAsia="Times New Roman" w:hAnsi="Times New Roman"/>
          <w:i/>
          <w:iCs/>
          <w:color w:val="666666"/>
          <w:sz w:val="20"/>
          <w:szCs w:val="20"/>
        </w:rPr>
        <w:t xml:space="preserve">Date : 20 juillet 2026  •  Module Fondamental — leçon 6/20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6/16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200" w:before="0"/>
        <w:jc w:val="center"/>
      </w:pPr>
      <w:r>
        <w:rPr>
          <w:rFonts w:ascii="Times New Roman" w:cs="Times New Roman" w:eastAsia="Times New Roman" w:hAnsi="Times New Roman"/>
          <w:i/>
          <w:iCs/>
          <w:color w:val="666666"/>
          <w:sz w:val="20"/>
          <w:szCs w:val="20"/>
        </w:rPr>
        <w:t xml:space="preserve">Parcours Psychopathologie clinique — du fondamental à l'avancé</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À l'issue de cette leçon, tu seras capable de : distinguer un épisode dépressif caractérisé (EDC) d'une tristesse ordinaire ; identifier les critères diagnostiques des troubles bipolaires de type I et II ; différencier les phases maniaques, hypomaniaques et dépressives ; et positionner ces troubles dans les classifications CIM-11 et DSM-5-TR.</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Lien avec la leçon 05 (troubles anxieux) : anxiété et troubles de l'humeur sont fréquemment comorbides. Un même patient peut présenter des attaques de panique ET un épisode dépressif. La sémiologie vue en leçon 03 (signes d'humeur, d'affect, de pensée) est directement mobilisée ici pour repérer les symptômes.</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Théorie (20 %) — Concepts fondamentaux</w:t>
      </w:r>
    </w:p>
    <w:p>
      <w:pPr>
        <w:pStyle w:val="Heading3"/>
        <w:spacing w:after="80" w:before="200"/>
      </w:pPr>
      <w:r>
        <w:rPr>
          <w:rFonts w:ascii="Times New Roman" w:cs="Times New Roman" w:eastAsia="Times New Roman" w:hAnsi="Times New Roman"/>
          <w:b/>
          <w:bCs/>
          <w:color w:val="1F2937"/>
          <w:sz w:val="26"/>
          <w:szCs w:val="26"/>
        </w:rPr>
        <w:t xml:space="preserve">1. Qu'est-ce qu'un trouble de l'humeur ?</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de l'humeur (ou troubles thymiques) se définissent par une altération persistante et pathologique de l'humeur — cette tonalité émotionnelle de fond qui colore l'ensemble de notre vécu. On en distingue deux grandes catégories selon la littérature clinique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troubles dépressifs : caractérisés par une humeur triste, vide ou irritable, avec perte d'intérêt et d'énergie.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troubles bipolaires : marqués par l'alternance (ou la coexistence) de phases d'excitation (manie ou hypomanie) et de phases dépressives, avec des périodes de stabilité.</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20" w:before="120"/>
        <w:ind w:left="300" w:right="300"/>
      </w:pPr>
      <w:r>
        <w:rPr>
          <w:rFonts w:ascii="Times New Roman" w:cs="Times New Roman" w:eastAsia="Times New Roman" w:hAnsi="Times New Roman"/>
          <w:b/>
          <w:bCs/>
          <w:color w:val="1B3A6B"/>
          <w:sz w:val="22"/>
          <w:szCs w:val="22"/>
        </w:rPr>
        <w:t xml:space="preserve">Point épistémologique — </w:t>
      </w:r>
      <w:r>
        <w:rPr>
          <w:rFonts w:ascii="Times New Roman" w:cs="Times New Roman" w:eastAsia="Times New Roman" w:hAnsi="Times New Roman"/>
          <w:color w:val="1F2937"/>
          <w:sz w:val="22"/>
          <w:szCs w:val="22"/>
        </w:rPr>
        <w:t xml:space="preserve">Les classifications (DSM-5-TR, CIM-11) décrivent des syndromes, non des causes. Elles permettent une langue commune entre cliniciens, pas une explication étiologique. Les modèles biologiques, psychodynamiques et cognitivo-comportementaux offrent des lectures complémentaires.</w:t>
      </w:r>
    </w:p>
    <w:p>
      <w:pPr>
        <w:pStyle w:val="Heading3"/>
        <w:spacing w:after="80" w:before="200"/>
      </w:pPr>
      <w:r>
        <w:rPr>
          <w:rFonts w:ascii="Times New Roman" w:cs="Times New Roman" w:eastAsia="Times New Roman" w:hAnsi="Times New Roman"/>
          <w:b/>
          <w:bCs/>
          <w:color w:val="1F2937"/>
          <w:sz w:val="26"/>
          <w:szCs w:val="26"/>
        </w:rPr>
        <w:t xml:space="preserve">2. L'épisode dépressif caractérisé (EDC) — critères DSM-5-TR</w:t>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 : depression-bipolarite-pratique.com, données présentées comme issues du DSM-5-TR. ⚠️ Réserve ajoutée le 06/09/2026 : c'est un site professionnel privé, non une source institutionnelle ni le manuel lui-même. Les neuf critères et le seuil de cinq sur deux semaines qui suivent sont conformes à ce qui est couramment publié, mais ils n'ont pas été recoupés sur le DSM-5-TR ni sur une source de premier rang pendant la production de cette leçon. La recommandation de la HAS citée en ressources — « Épisode dépressif caractérisé de l'adulte : prise en charge en premier recours », validée le 4 octobre 2017 — est la référence francophone à privilégier pour un usage professionnel.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Un EDC est caractérisé par la présence d'au moins 5 des 9 symptômes suivants, pendant une période d'au moins deux semaines ; au moins un des symptômes doit être soit l'humeur dépressive, soit la perte d'intérêt ou de plaisir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1. Humeur dépressive présente la majeure partie de la journée, presque tous les jours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2. Diminution marquée de l'intérêt ou du plaisir pour toutes (ou presque toutes) les activités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3. Perte ou gain de poids significatif, ou perturbation de l'appétit</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4. Insomnie ou hypersomnie presque tous les jours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5. Agitation ou ralentissement psychomoteur observable par autrui</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6. Fatigue ou perte d'énergie presque tous les jours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7. Sentiments de dévalorisation ou de culpabilité excessive ou inappropriée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8. Difficultés à penser, à se concentrer, ou à prendre des décisions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9. Pensées de mort récurrentes, idéation suicidaire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Les symptômes doivent causer une souffrance cliniquement significative ou une altération du fonctionnement social ou professionnel.</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80" w:before="80"/>
        <w:ind w:left="400"/>
      </w:pPr>
      <w:r>
        <w:rPr>
          <w:rFonts w:ascii="Times New Roman" w:cs="Times New Roman" w:eastAsia="Times New Roman" w:hAnsi="Times New Roman"/>
          <w:i/>
          <w:iCs/>
          <w:color w:val="1B3A6B"/>
          <w:sz w:val="22"/>
          <w:szCs w:val="22"/>
        </w:rPr>
        <w:t xml:space="preserve">La dépression clinique se distingue de la tristesse ordinaire par sa durée, son intensité, son retentissement fonctionnel et son indépendance relative aux événements extérieurs — l'humeur reste relativement stable quelle que soit la situation. (Psycom, Troubles dépressifs)</w:t>
      </w:r>
    </w:p>
    <w:p>
      <w:pPr>
        <w:pStyle w:val="Heading3"/>
        <w:spacing w:after="80" w:before="200"/>
      </w:pPr>
      <w:r>
        <w:rPr>
          <w:rFonts w:ascii="Times New Roman" w:cs="Times New Roman" w:eastAsia="Times New Roman" w:hAnsi="Times New Roman"/>
          <w:b/>
          <w:bCs/>
          <w:color w:val="1F2937"/>
          <w:sz w:val="26"/>
          <w:szCs w:val="26"/>
        </w:rPr>
        <w:t xml:space="preserve">3. Les troubles bipolaires — types et phases</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troubles bipolaires sont caractérisés par une alternance d'épisodes maniaques ou hypomaniaques et d'épisodes dépressifs, entrecoupés de périodes de stabilité. La littérature clinique distingue classiquement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Trouble bipolaire de type I : au moins un épisode maniaque complet (≥ 7 jours ou hospitalisation). Les EDC sont fréquents mais non obligatoires pour le diagnostic.</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Trouble bipolaire de type II : au moins un épisode hypomaniaque (≥ 4 jours, moins intense, sans conséquences graves) ET au moins un EDC. Pas d'épisode maniaque franc.</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Trouble cyclothymique : alternance de symptômes hypomaniaques et dépressifs sub-syndromiques pendant ≥ 2 ans, sans atteindre les seuils d'un épisode complet.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Signes d'un épisode maniaque (selon Psycom, Troubles bipolaires) :</w:t>
      </w:r>
    </w:p>
    <w:p>
      <w:pPr>
        <w:pStyle w:val="ListParagraph"/>
        <w:numPr>
          <w:ilvl w:val="1"/>
          <w:numId w:val="1"/>
        </w:numPr>
        <w:spacing w:after="20" w:before="20"/>
      </w:pPr>
      <w:r>
        <w:rPr>
          <w:rFonts w:ascii="Times New Roman" w:cs="Times New Roman" w:eastAsia="Times New Roman" w:hAnsi="Times New Roman"/>
          <w:color w:val="1F2937"/>
          <w:sz w:val="20"/>
          <w:szCs w:val="20"/>
        </w:rPr>
        <w:t xml:space="preserve">Humeur euphorique ou irritable (≥ 1 semaine)</w:t>
      </w:r>
    </w:p>
    <w:p>
      <w:pPr>
        <w:pStyle w:val="ListParagraph"/>
        <w:numPr>
          <w:ilvl w:val="1"/>
          <w:numId w:val="1"/>
        </w:numPr>
        <w:spacing w:after="20" w:before="20"/>
      </w:pPr>
      <w:r>
        <w:rPr>
          <w:rFonts w:ascii="Times New Roman" w:cs="Times New Roman" w:eastAsia="Times New Roman" w:hAnsi="Times New Roman"/>
          <w:color w:val="1F2937"/>
          <w:sz w:val="20"/>
          <w:szCs w:val="20"/>
        </w:rPr>
        <w:t xml:space="preserve">Augmentation de l'énergie, discours accéléré, fuite des idées</w:t>
      </w:r>
    </w:p>
    <w:p>
      <w:pPr>
        <w:pStyle w:val="ListParagraph"/>
        <w:numPr>
          <w:ilvl w:val="1"/>
          <w:numId w:val="1"/>
        </w:numPr>
        <w:spacing w:after="20" w:before="20"/>
      </w:pPr>
      <w:r>
        <w:rPr>
          <w:rFonts w:ascii="Times New Roman" w:cs="Times New Roman" w:eastAsia="Times New Roman" w:hAnsi="Times New Roman"/>
          <w:color w:val="1F2937"/>
          <w:sz w:val="20"/>
          <w:szCs w:val="20"/>
        </w:rPr>
        <w:t xml:space="preserve">Estime de soi exagérée, idées de grandeur</w:t>
      </w:r>
    </w:p>
    <w:p>
      <w:pPr>
        <w:pStyle w:val="ListParagraph"/>
        <w:numPr>
          <w:ilvl w:val="1"/>
          <w:numId w:val="1"/>
        </w:numPr>
        <w:spacing w:after="20" w:before="20"/>
      </w:pPr>
      <w:r>
        <w:rPr>
          <w:rFonts w:ascii="Times New Roman" w:cs="Times New Roman" w:eastAsia="Times New Roman" w:hAnsi="Times New Roman"/>
          <w:color w:val="1F2937"/>
          <w:sz w:val="20"/>
          <w:szCs w:val="20"/>
        </w:rPr>
        <w:t xml:space="preserve">Diminution du besoin de sommeil</w:t>
      </w:r>
    </w:p>
    <w:p>
      <w:pPr>
        <w:pStyle w:val="ListParagraph"/>
        <w:numPr>
          <w:ilvl w:val="1"/>
          <w:numId w:val="1"/>
        </w:numPr>
        <w:spacing w:after="20" w:before="20"/>
      </w:pPr>
      <w:r>
        <w:rPr>
          <w:rFonts w:ascii="Times New Roman" w:cs="Times New Roman" w:eastAsia="Times New Roman" w:hAnsi="Times New Roman"/>
          <w:color w:val="1F2937"/>
          <w:sz w:val="20"/>
          <w:szCs w:val="20"/>
        </w:rPr>
        <w:t xml:space="preserve">Comportements impulsifs et à risque (achats, sexualité, projets délirants)</w:t>
      </w:r>
    </w:p>
    <w:p>
      <w:pPr>
        <w:pStyle w:val="Heading3"/>
        <w:spacing w:after="80" w:before="200"/>
      </w:pPr>
      <w:r>
        <w:rPr>
          <w:rFonts w:ascii="Times New Roman" w:cs="Times New Roman" w:eastAsia="Times New Roman" w:hAnsi="Times New Roman"/>
          <w:b/>
          <w:bCs/>
          <w:color w:val="1F2937"/>
          <w:sz w:val="26"/>
          <w:szCs w:val="26"/>
        </w:rPr>
        <w:t xml:space="preserve">4. Tableau comparatif DSM-5-TR vs CIM-11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color="1B3A6B" w:val="solid"/>
          </w:tcPr>
          <w:p>
            <w:r>
              <w:rPr>
                <w:rFonts w:ascii="Times New Roman" w:cs="Times New Roman" w:eastAsia="Times New Roman" w:hAnsi="Times New Roman"/>
                <w:b/>
                <w:bCs/>
                <w:color w:val="FFFFFF"/>
                <w:sz w:val="20"/>
                <w:szCs w:val="20"/>
              </w:rPr>
              <w:t xml:space="preserve">Critère</w:t>
            </w:r>
          </w:p>
        </w:tc>
        <w:tc>
          <w:tcPr>
            <w:shd w:fill="1B3A6B" w:color="1B3A6B" w:val="solid"/>
          </w:tcPr>
          <w:p>
            <w:r>
              <w:rPr>
                <w:rFonts w:ascii="Times New Roman" w:cs="Times New Roman" w:eastAsia="Times New Roman" w:hAnsi="Times New Roman"/>
                <w:b/>
                <w:bCs/>
                <w:color w:val="FFFFFF"/>
                <w:sz w:val="20"/>
                <w:szCs w:val="20"/>
              </w:rPr>
              <w:t xml:space="preserve">DSM-5-TR (APA)</w:t>
            </w:r>
          </w:p>
        </w:tc>
        <w:tc>
          <w:tcPr>
            <w:shd w:fill="1B3A6B" w:color="1B3A6B" w:val="solid"/>
          </w:tcPr>
          <w:p>
            <w:r>
              <w:rPr>
                <w:rFonts w:ascii="Times New Roman" w:cs="Times New Roman" w:eastAsia="Times New Roman" w:hAnsi="Times New Roman"/>
                <w:b/>
                <w:bCs/>
                <w:color w:val="FFFFFF"/>
                <w:sz w:val="20"/>
                <w:szCs w:val="20"/>
              </w:rPr>
              <w:t xml:space="preserve">CIM-11 (OMS)</w:t>
            </w:r>
          </w:p>
        </w:tc>
      </w:tr>
      <w:tr>
        <w:tc>
          <w:p>
            <w:r>
              <w:rPr>
                <w:rFonts w:ascii="Times New Roman" w:cs="Times New Roman" w:eastAsia="Times New Roman" w:hAnsi="Times New Roman"/>
                <w:color w:val="1F2937"/>
                <w:sz w:val="20"/>
                <w:szCs w:val="20"/>
              </w:rPr>
              <w:t xml:space="preserve">Org.</w:t>
            </w:r>
          </w:p>
        </w:tc>
        <w:tc>
          <w:p>
            <w:r>
              <w:rPr>
                <w:rFonts w:ascii="Times New Roman" w:cs="Times New Roman" w:eastAsia="Times New Roman" w:hAnsi="Times New Roman"/>
                <w:color w:val="1F2937"/>
                <w:sz w:val="20"/>
                <w:szCs w:val="20"/>
              </w:rPr>
              <w:t xml:space="preserve">American Psychiatric Association</w:t>
            </w:r>
          </w:p>
        </w:tc>
        <w:tc>
          <w:p>
            <w:r>
              <w:rPr>
                <w:rFonts w:ascii="Times New Roman" w:cs="Times New Roman" w:eastAsia="Times New Roman" w:hAnsi="Times New Roman"/>
                <w:color w:val="1F2937"/>
                <w:sz w:val="20"/>
                <w:szCs w:val="20"/>
              </w:rPr>
              <w:t xml:space="preserve">Organisation mondiale de la Santé</w:t>
            </w:r>
          </w:p>
        </w:tc>
      </w:tr>
      <w:tr>
        <w:tc>
          <w:tcPr>
            <w:shd w:fill="EEF2F7" w:color="EEF2F7" w:val="solid"/>
          </w:tcPr>
          <w:p>
            <w:r>
              <w:rPr>
                <w:rFonts w:ascii="Times New Roman" w:cs="Times New Roman" w:eastAsia="Times New Roman" w:hAnsi="Times New Roman"/>
                <w:color w:val="1F2937"/>
                <w:sz w:val="20"/>
                <w:szCs w:val="20"/>
              </w:rPr>
              <w:t xml:space="preserve">EDC — durée</w:t>
            </w:r>
          </w:p>
        </w:tc>
        <w:tc>
          <w:tcPr>
            <w:shd w:fill="EEF2F7" w:color="EEF2F7" w:val="solid"/>
          </w:tcPr>
          <w:p>
            <w:r>
              <w:rPr>
                <w:rFonts w:ascii="Times New Roman" w:cs="Times New Roman" w:eastAsia="Times New Roman" w:hAnsi="Times New Roman"/>
                <w:color w:val="1F2937"/>
                <w:sz w:val="20"/>
                <w:szCs w:val="20"/>
              </w:rPr>
              <w:t xml:space="preserve">≥ 2 semaines, ≥ 5/9 symptômes</w:t>
            </w:r>
          </w:p>
        </w:tc>
        <w:tc>
          <w:tcPr>
            <w:shd w:fill="EEF2F7" w:color="EEF2F7" w:val="solid"/>
          </w:tcPr>
          <w:p>
            <w:r>
              <w:rPr>
                <w:rFonts w:ascii="Times New Roman" w:cs="Times New Roman" w:eastAsia="Times New Roman" w:hAnsi="Times New Roman"/>
                <w:color w:val="1F2937"/>
                <w:sz w:val="20"/>
                <w:szCs w:val="20"/>
              </w:rPr>
              <w:t xml:space="preserve">≥ 2 semaines, critères similaires</w:t>
            </w:r>
          </w:p>
        </w:tc>
      </w:tr>
      <w:tr>
        <w:tc>
          <w:p>
            <w:r>
              <w:rPr>
                <w:rFonts w:ascii="Times New Roman" w:cs="Times New Roman" w:eastAsia="Times New Roman" w:hAnsi="Times New Roman"/>
                <w:color w:val="1F2937"/>
                <w:sz w:val="20"/>
                <w:szCs w:val="20"/>
              </w:rPr>
              <w:t xml:space="preserve">Manie TB-I</w:t>
            </w:r>
          </w:p>
        </w:tc>
        <w:tc>
          <w:p>
            <w:r>
              <w:rPr>
                <w:rFonts w:ascii="Times New Roman" w:cs="Times New Roman" w:eastAsia="Times New Roman" w:hAnsi="Times New Roman"/>
                <w:color w:val="1F2937"/>
                <w:sz w:val="20"/>
                <w:szCs w:val="20"/>
              </w:rPr>
              <w:t xml:space="preserve">≥ 1 semaine (ou hospitalisation)</w:t>
            </w:r>
          </w:p>
        </w:tc>
        <w:tc>
          <w:p>
            <w:r>
              <w:rPr>
                <w:rFonts w:ascii="Times New Roman" w:cs="Times New Roman" w:eastAsia="Times New Roman" w:hAnsi="Times New Roman"/>
                <w:color w:val="1F2937"/>
                <w:sz w:val="20"/>
                <w:szCs w:val="20"/>
              </w:rPr>
              <w:t xml:space="preserve">≥ 1 semaine, critères proches</w:t>
            </w:r>
          </w:p>
        </w:tc>
      </w:tr>
      <w:tr>
        <w:tc>
          <w:tcPr>
            <w:shd w:fill="EEF2F7" w:color="EEF2F7" w:val="solid"/>
          </w:tcPr>
          <w:p>
            <w:r>
              <w:rPr>
                <w:rFonts w:ascii="Times New Roman" w:cs="Times New Roman" w:eastAsia="Times New Roman" w:hAnsi="Times New Roman"/>
                <w:color w:val="1F2937"/>
                <w:sz w:val="20"/>
                <w:szCs w:val="20"/>
              </w:rPr>
              <w:t xml:space="preserve">Épisodes mixtes</w:t>
            </w:r>
          </w:p>
        </w:tc>
        <w:tc>
          <w:tcPr>
            <w:shd w:fill="EEF2F7" w:color="EEF2F7" w:val="solid"/>
          </w:tcPr>
          <w:p>
            <w:r>
              <w:rPr>
                <w:rFonts w:ascii="Times New Roman" w:cs="Times New Roman" w:eastAsia="Times New Roman" w:hAnsi="Times New Roman"/>
                <w:color w:val="1F2937"/>
                <w:sz w:val="20"/>
                <w:szCs w:val="20"/>
              </w:rPr>
              <w:t xml:space="preserve">Spécificateur (TB-I et II)</w:t>
            </w:r>
          </w:p>
        </w:tc>
        <w:tc>
          <w:tcPr>
            <w:shd w:fill="EEF2F7" w:color="EEF2F7" w:val="solid"/>
          </w:tcPr>
          <w:p>
            <w:r>
              <w:rPr>
                <w:rFonts w:ascii="Times New Roman" w:cs="Times New Roman" w:eastAsia="Times New Roman" w:hAnsi="Times New Roman"/>
                <w:color w:val="1F2937"/>
                <w:sz w:val="20"/>
                <w:szCs w:val="20"/>
              </w:rPr>
              <w:t xml:space="preserve">Catégorie propre (plus explicite)</w:t>
            </w:r>
          </w:p>
        </w:tc>
      </w:tr>
      <w:tr>
        <w:tc>
          <w:p>
            <w:r>
              <w:rPr>
                <w:rFonts w:ascii="Times New Roman" w:cs="Times New Roman" w:eastAsia="Times New Roman" w:hAnsi="Times New Roman"/>
                <w:color w:val="1F2937"/>
                <w:sz w:val="20"/>
                <w:szCs w:val="20"/>
              </w:rPr>
              <w:t xml:space="preserve">Cyclothymie</w:t>
            </w:r>
          </w:p>
        </w:tc>
        <w:tc>
          <w:p>
            <w:r>
              <w:rPr>
                <w:rFonts w:ascii="Times New Roman" w:cs="Times New Roman" w:eastAsia="Times New Roman" w:hAnsi="Times New Roman"/>
                <w:color w:val="1F2937"/>
                <w:sz w:val="20"/>
                <w:szCs w:val="20"/>
              </w:rPr>
              <w:t xml:space="preserve">Trouble cyclothymique — catégorie officielle. ⚠️ Corrigé le 06/09/2026 : cette case portait « Trouble bipolaire III (non officiel) ». Le trouble cyclothymique EST une catégorie du DSM-5 ; le « bipolaire III » est une étiquette informelle qui n'y figure pas. La section 3 de cette même leçon le décrit d'ailleurs correctement, avec son critère de deux ans.</w:t>
            </w:r>
          </w:p>
        </w:tc>
        <w:tc>
          <w:p>
            <w:r>
              <w:rPr>
                <w:rFonts w:ascii="Times New Roman" w:cs="Times New Roman" w:eastAsia="Times New Roman" w:hAnsi="Times New Roman"/>
                <w:color w:val="1F2937"/>
                <w:sz w:val="20"/>
                <w:szCs w:val="20"/>
              </w:rPr>
              <w:t xml:space="preserve">Trouble cyclothymique</w:t>
            </w:r>
          </w:p>
        </w:tc>
      </w:tr>
      <w:tr>
        <w:tc>
          <w:tcPr>
            <w:shd w:fill="EEF2F7" w:color="EEF2F7" w:val="solid"/>
          </w:tcPr>
          <w:p>
            <w:r>
              <w:rPr>
                <w:rFonts w:ascii="Times New Roman" w:cs="Times New Roman" w:eastAsia="Times New Roman" w:hAnsi="Times New Roman"/>
                <w:color w:val="1F2937"/>
                <w:sz w:val="20"/>
                <w:szCs w:val="20"/>
              </w:rPr>
              <w:t xml:space="preserve">Usage en France</w:t>
            </w:r>
          </w:p>
        </w:tc>
        <w:tc>
          <w:tcPr>
            <w:shd w:fill="EEF2F7" w:color="EEF2F7" w:val="solid"/>
          </w:tcPr>
          <w:p>
            <w:r>
              <w:rPr>
                <w:rFonts w:ascii="Times New Roman" w:cs="Times New Roman" w:eastAsia="Times New Roman" w:hAnsi="Times New Roman"/>
                <w:color w:val="1F2937"/>
                <w:sz w:val="20"/>
                <w:szCs w:val="20"/>
              </w:rPr>
              <w:t xml:space="preserve">Recherche, essais cliniques</w:t>
            </w:r>
          </w:p>
        </w:tc>
        <w:tc>
          <w:tcPr>
            <w:shd w:fill="EEF2F7" w:color="EEF2F7" w:val="solid"/>
          </w:tcPr>
          <w:p>
            <w:r>
              <w:rPr>
                <w:rFonts w:ascii="Times New Roman" w:cs="Times New Roman" w:eastAsia="Times New Roman" w:hAnsi="Times New Roman"/>
                <w:color w:val="1F2937"/>
                <w:sz w:val="20"/>
                <w:szCs w:val="20"/>
              </w:rPr>
              <w:t xml:space="preserve">Statistiques ; codage PMSI et ALD en CIM-10 (voir la note sous le tableau)</w:t>
            </w:r>
          </w:p>
        </w:tc>
      </w:tr>
    </w:tbl>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À noter : la CIM-11 (OMS) définit explicitement les épisodes mixtes comme une catégorie propre, ce qui la distingue du DSM-5-TR où ils n'apparaissent qu'en tant que spécificateurs. ⚠️ CORRECTION DU 06/09/2026 — LE POINT LE PLUS IMPORTANT DE CETTE LEÇON POUR UN USAGE PROFESSIONNEL. La leçon écrivait : « En France, le codage médico-administratif (ALD, PMSI) utilise la CIM-11. » C'EST FAUX. Le PMSI code les diagnostics en CIM-10, avec les extensions publiées par le ministère français de la santé ; la bascule vers la CIM-11 n'a pas eu lieu pour le codage médico-administratif français. La CIM-11 est en vigueur comme classification internationale de l'OMS depuis 2022, ce qui est une autre question que celle du codage de facturation et de statistique en France. Ne reprends jamais cette affirmation dans un écrit professionnel ou devant un évaluateur sans la vérifier auprès de l'ATIH.</w:t>
      </w:r>
    </w:p>
    <w:p>
      <w:pPr>
        <w:pStyle w:val="Heading3"/>
        <w:spacing w:after="80" w:before="200"/>
      </w:pPr>
      <w:r>
        <w:rPr>
          <w:rFonts w:ascii="Times New Roman" w:cs="Times New Roman" w:eastAsia="Times New Roman" w:hAnsi="Times New Roman"/>
          <w:b/>
          <w:bCs/>
          <w:color w:val="1F2937"/>
          <w:sz w:val="26"/>
          <w:szCs w:val="26"/>
        </w:rPr>
        <w:t xml:space="preserve">5. Modèles explicatifs complémentaires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Biologique / neurobiologique : dérégulation des systèmes monoaminergiques (sérotonine, noradrénaline, dopamine) et des rythmes circadiens. Base de l'action des antidépresseurs et thymorégulateurs.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Cognitivo-comportemental (Aaron Beck, modèle cognitif) : la dépression serait entretenue par une « triade cognitive négative » — vision négative de soi, du monde et de l'avenir — et par des schémas de pensées dysfonctionnels. La thérapie cognitive vise à identifier et restructurer ces pensées.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Psychodynamique : la dépression est liée à une perte réelle ou symbolique et à un retournement de l'agressivité contre soi. Freud distinguait deuil (réaction normale) et mélancolie (processus pathologique).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Systémique et contextuel : l'humeur dépressive peut être comprise comme une réponse à un contexte relationnel ou familial spécifique ; le traitement s'adresse alors au système, pas uniquement à l'individu.</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hd w:fill="EEF2F7" w:color="EEF2F7" w:val="solid"/>
        <w:spacing w:after="120" w:before="120"/>
        <w:ind w:left="300" w:right="300"/>
      </w:pPr>
      <w:r>
        <w:rPr>
          <w:rFonts w:ascii="Times New Roman" w:cs="Times New Roman" w:eastAsia="Times New Roman" w:hAnsi="Times New Roman"/>
          <w:b/>
          <w:bCs/>
          <w:color w:val="1B3A6B"/>
          <w:sz w:val="22"/>
          <w:szCs w:val="22"/>
        </w:rPr>
        <w:t xml:space="preserve">Repère déontologique — </w:t>
      </w:r>
      <w:r>
        <w:rPr>
          <w:rFonts w:ascii="Times New Roman" w:cs="Times New Roman" w:eastAsia="Times New Roman" w:hAnsi="Times New Roman"/>
          <w:color w:val="1F2937"/>
          <w:sz w:val="22"/>
          <w:szCs w:val="22"/>
        </w:rPr>
        <w:t xml:space="preserve">La pose d'un diagnostic de trouble dépressif ou bipolaire est un acte médical réservé aux psychiatres et médecins, et un acte clinique pour les psychologues cliniciens. En tant que professionnel non clinicien, notre rôle est d'OBSERVER, de SIGNALER et d'ORIENTER — pas de diagnostiquer.</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Pratique (80 %)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Appliquer les critères : réel ou non ?</w:t>
      </w:r>
    </w:p>
    <w:p>
      <w:pPr>
        <w:spacing w:after="60" w:before="60"/>
      </w:pPr>
      <w:r>
        <w:rPr>
          <w:rFonts w:ascii="Times New Roman" w:cs="Times New Roman" w:eastAsia="Times New Roman" w:hAnsi="Times New Roman"/>
          <w:b w:val="false"/>
          <w:bCs w:val="false"/>
          <w:i w:val="false"/>
          <w:iCs w:val="false"/>
          <w:color w:val="1F2937"/>
          <w:sz w:val="22"/>
          <w:szCs w:val="22"/>
        </w:rPr>
        <w:t xml:space="preserve">Lis les 4 vignettes suivantes et détermine pour chacune si les critères d'un EDC sont remplis ou non. Justifie en citant les critères DSM-5-TR.</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A — Ahmed, 34 ans : depuis 3 semaines, il se sent « à plat », a perdu tout intérêt pour la musique qu'il adorait, dort 11h par nuit, a du mal à se concentrer au travail, et pense souvent que « rien ne vaut vraiment le coup ». Son appétit a diminué (−4 kg). Il ne parle pas d'idées suicidaires. Il arrive quand même à travailler.</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B — Sophie, 29 ans : elle est triste depuis 10 jours après une rupture amoureuse. Elle pleure le soir mais arrive à rire avec ses amis. Elle mange moins mais dort normalement. Elle anticipe un mieux dès que la « peine passera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C — Marc, 52 ans : depuis 1 mois, il ne sort plus du lit avant midi. Il dit ne rien ressentir (« vide total »), a perdu 6 kg, présente une agitation visible (se lève, tourne dans la pièce), et confie penser à sa propre mort sans plan précis. Il a démissionné de son emploi.</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D — Léa, 41 ans : humeur irritable depuis 5 jours, se sent « super bien en fait », a dormi 3h cette nuit et se dit reposée, a commandé pour 2 000 € de matériel en ligne, parle très vite et enchaîne des projets.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 Pour chaque vignette : EDC oui/non ? Critères remplis ou manquants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A — EDC probablement rempli : humeur dépressive + anédonie (2 critères pivots), + fatigue/manque d'énergie + trouble concentration + pensées négatives récurrentes + perte de poids/appétit = au moins 6/9 critères sur 3 semaines (&gt; 2 semaines). Le maintien du travail n'exclut pas l'EDC si le retentissement est cliniquement significatif.</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B — EDC non rempli : durée insuffisante (10 jours &lt; 14 jours requis) ; la tristesse est réactionnelle, fluctuante et préservée par le contexte social ; symptômes sub-syndromiques (2-3 critères au plus). Il s'agit d'une réaction de deuil/tristesse normale.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C — EDC sévère probable : humeur dépressive (vide), anédonie + anorexie significative, hypersomnie initiale devenue insomnie/agitation, agitation psychomotrice observable, pensées de mort, retentissement fonctionnel majeur (démission) = ≥ 7/9 critères sur 1 mois. Le risque suicidaire doit être évalué.</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Vignette D — Épisode maniaque ou hypomaniaque probable, PAS un EDC : humeur élevée/irritable, diminution du besoin de sommeil, discours accéléré, comportements impulsifs, projets en rafale. La durée (5 jours) et le non-retentissement apparent orientent vers l'hypomanie. À surveiller : si cela dure ≥ 7 jours ou entraîne une hospitalisation → manie franche.</w:t>
      </w:r>
    </w:p>
    <w:p>
      <w:pPr>
        <w:spacing w:after="100" w:before="100"/>
      </w:pPr>
      <w:r>
        <w:rPr>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2 — Distinguer dépression unipolaire et bipolaire</w:t>
      </w:r>
    </w:p>
    <w:p>
      <w:pPr>
        <w:spacing w:after="60" w:before="60"/>
      </w:pPr>
      <w:r>
        <w:rPr>
          <w:rFonts w:ascii="Times New Roman" w:cs="Times New Roman" w:eastAsia="Times New Roman" w:hAnsi="Times New Roman"/>
          <w:b w:val="false"/>
          <w:bCs w:val="false"/>
          <w:i w:val="false"/>
          <w:iCs w:val="false"/>
          <w:color w:val="1F2937"/>
          <w:sz w:val="22"/>
          <w:szCs w:val="22"/>
        </w:rPr>
        <w:t xml:space="preserve">Voici 6 éléments cliniques. Pour chacun, indique s'il oriente plutôt vers un trouble dépressif unipolaire (TDU), un trouble bipolaire (TB), ou s'il est non discriminant (ND). Justifie brièvement.</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Premier épisode dépressif à 18 ans avec antécédents familiaux de TB au premier degré.</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Épisode dépressif avec hypersomnie marquée (12h/nuit) et prise de poids.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Réponse antidépressive rapide et spectaculaire suivie 3 semaines plus tard d'une insomnie totale et d'une grande agitation.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Dépression réactionnelle après un licenciement, sans antécédent ni signe atypique.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 Plusieurs épisodes dépressifs récurrents séparés par des périodes de fonctionnement normal.</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 Épisode dépressif avec des idées mystiques (« je dois expier »), départ subit à l'étranger.</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 TB : début précoce + histoire familiale sont deux facteurs de risque majeurs de bipolarité.</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 TB (atypique) : hypersomnie et hyperphagie sont des marqueurs classiques de la dépression bipolaire (souvent absents dans la dépression unipolaire mélancolique).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 TB fortement suspecté : le « virage maniaque » sous antidépresseur est un signal d'alarme bien documenté de bipolarité latente — l'antidépresseur a pu « découvrir » un trouble bipolaire en déclenchant la phase d'excitation.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 TDU probable : contexte réactionnel clair, absence d'atypicité, pas d'antécédent thymo-cyclique. Reste à surveiller l'évolution.</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 → ND : la récurrence des EDC existe aussi bien dans la dépression unipolaire récurrente que dans le trouble bipolaire entre les épisodes maniaques. Nécessite une anamnèse soigneuse sur d'éventuels épisodes d'hypomanie passés inaperçus.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 → TB suspecté : la coloration mystique/grandiose et le comportement impulsif et déstructuré peuvent signer un épisode mixte ou une dépression bipolaire sévère avec éléments psychotiques. À distinguer d'un trouble psychotique.</w:t>
      </w:r>
    </w:p>
    <w:p>
      <w:pPr>
        <w:spacing w:after="100" w:before="100"/>
      </w:pPr>
      <w:r>
        <w:rPr>
          <w:color w:val="AAAAAA"/>
          <w:sz w:val="18"/>
          <w:szCs w:val="18"/>
        </w:rPr>
        <w:t xml:space="preserve">─────────────────────────────────────────────────────</w:t>
      </w:r>
    </w:p>
    <w:p>
      <w:pPr>
        <w:pStyle w:val="Heading3"/>
        <w:spacing w:after="80" w:before="200"/>
      </w:pPr>
      <w:r>
        <w:rPr>
          <w:rFonts w:ascii="Times New Roman" w:cs="Times New Roman" w:eastAsia="Times New Roman" w:hAnsi="Times New Roman"/>
          <w:b/>
          <w:bCs/>
          <w:color w:val="1F2937"/>
          <w:sz w:val="26"/>
          <w:szCs w:val="26"/>
        </w:rPr>
        <w:t xml:space="preserve">Exercice 3 — Réflexion personnelle : mon expérience de l'humeur</w:t>
      </w:r>
    </w:p>
    <w:p>
      <w:pPr>
        <w:spacing w:after="60" w:before="60"/>
      </w:pPr>
      <w:r>
        <w:rPr>
          <w:rFonts w:ascii="Times New Roman" w:cs="Times New Roman" w:eastAsia="Times New Roman" w:hAnsi="Times New Roman"/>
          <w:b w:val="false"/>
          <w:bCs w:val="false"/>
          <w:i w:val="false"/>
          <w:iCs w:val="false"/>
          <w:color w:val="1F2937"/>
          <w:sz w:val="22"/>
          <w:szCs w:val="22"/>
        </w:rPr>
        <w:t xml:space="preserve">Cet exercice vise à ancrer la connaissance dans l'expérience subjective — levier puissant d'apprentissage et de future empathie clinique.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Réponds par écrit aux 4 questions suivantes (réponses pour toi seul, non à remettre)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1. Pense à un moment de ta vie où tu as vécu une baisse d'humeur marquée (non pathologique). Quels étaient les 2-3 critères de l'EDC que tu aurais pu cocher à ce moment-là ? Lesquels étaient absents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2. Qu'est-ce qui t'a « sorti » de cet état ? Quelle signification donnes-tu à cette sortie au regard des modèles explicatifs vus dans la leçon (biologique, cognitif, psychodynamique)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3. Si tu avais à expliquer la différence entre « être triste » et « faire une dépression » à quelqu'un de ton entourage, quelles 3 formulations utiliseras-tu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4. En lisant les vignettes de l'exercice 1, quelle a été ta réaction instinctive face à la vignette C (Marc, 52 ans) ? Qu'est-ce que cela te dit sur ta propre lecture de la souffrance psychique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iCs/>
          <w:color w:val="1F2937"/>
          <w:sz w:val="22"/>
          <w:szCs w:val="22"/>
        </w:rPr>
        <w:t xml:space="preserve">Note : il n'y a pas de « bonne » réponse. L'objectif est de prendre conscience de ton propre cadre de référence — ce que la littérature appelle la « résonance contre-transférentielle » — pour développer une posture professionnelle informée et non stigmatisante.</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Challenge de synthèse</w:t>
      </w:r>
    </w:p>
    <w:p>
      <w:pPr>
        <w:spacing w:after="60" w:before="60"/>
      </w:pPr>
      <w:r>
        <w:rPr>
          <w:rFonts w:ascii="Times New Roman" w:cs="Times New Roman" w:eastAsia="Times New Roman" w:hAnsi="Times New Roman"/>
          <w:b w:val="false"/>
          <w:bCs w:val="false"/>
          <w:i w:val="false"/>
          <w:iCs w:val="false"/>
          <w:color w:val="1F2937"/>
          <w:sz w:val="22"/>
          <w:szCs w:val="22"/>
        </w:rPr>
        <w:t xml:space="preserve">Mme A., 47 ans, est accompagnée dans un foyer de vie depuis 5 ans. Les équipes signalent depuis 3 semaines : retrait social progressif, refus de participer aux activités collectives habituelles, sommeil perturbé (se lève à 4h du matin), commentaires récurrents de type « je suis inutile », irritabilité inhabituelle lors des repas.</w:t>
      </w:r>
    </w:p>
    <w:p>
      <w:pPr>
        <w:spacing w:after="60" w:before="60"/>
      </w:pPr>
      <w:r>
        <w:rPr>
          <w:rFonts w:ascii="Times New Roman" w:cs="Times New Roman" w:eastAsia="Times New Roman" w:hAnsi="Times New Roman"/>
          <w:b w:val="false"/>
          <w:bCs w:val="false"/>
          <w:i w:val="false"/>
          <w:iCs w:val="false"/>
          <w:color w:val="1F2937"/>
          <w:sz w:val="22"/>
          <w:szCs w:val="22"/>
        </w:rPr>
        <w:t xml:space="preserve">Son dossier médical indique deux hospitalisations en psychiatrie à 32 et 38 ans (motifs non précisés dans le dossier éducatif). Elle prend du lithium au long cours.</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Quels signes cliniques observés par l'équipe éducative sont cohérents avec un épisode dépressif caractérisé ? Lesquels méritent une vigilance particulière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La prescription de lithium et les deux hospitalisations passées orientent vers quel diagnostic probable ? Qu'est-ce que cela change dans la lecture de la situation actuelle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Quel est le rôle approprié de l'équipe éducative et du chef de service dans ce contexte ? Quelles actions sont à initier, dans quel ordre, et vers qui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En quoi la RBPP HAS sur les « Comportements-problèmes » et la posture de bientraitance guident-elles la réponse de l'équipe face à l'irritabilité de Mme A.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bCs/>
          <w:i w:val="false"/>
          <w:iCs w:val="false"/>
          <w:color w:val="1F2937"/>
          <w:sz w:val="22"/>
          <w:szCs w:val="22"/>
        </w:rPr>
        <w:t xml:space="preserve">CORRIGÉ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a) Signes cohérents avec un EDC : retrait social, anédonie (refus des activités), insomnie (réveil précoce à 4h — signe classique de dépression mélancolique), propos dévalorisants (critère 7 du DSM-5), irritabilité (équivalent dépressif fréquent chez l'adulte avec handicap psychique). Vigilance particulière : les propos « je suis inutile » peuvent préfigurer des idées suicidaires implicites — à explorer avec prudence et à transmettre au psychiatre référent.</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b) Le lithium est un thymorégulateur de première ligne prescrit spécifiquement dans les troubles bipolaires (type I ou II). Les deux hospitalisations passées renforcent cette hypothèse. La lecture change radicalement : cette dépression est probablement bipolaire — ce qui contre-indique formellement de prescrire un antidépresseur seul (risque de virage maniaque), et oriente vers un ajustement du lithium ou l'ajout d'un autre thymorégulateur, décision médicale exclusive.</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c) Rôle de l'équipe éducative : observation précise et tracée (transmissions, cahier de bord) ; ne pas minimiser les signes ni « expliquer » l'état par un événement de vie ; maintenir un cadre sécurisant et prévisible. Rôle du chef de service : informer le psychiatre référent SANS DÉLAI, contacter la famille si accord de la personne, adapter temporairement les activités à l'état de Mme A. (sans l'isoler). Ne pas attendre que « ça passe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 La RBPP HAS sur les troubles du comportement (comportements-problèmes) rappelle que l'irritabilité n'est pas un « comportement à gérer » mais un SIGNAL à comprendre. L'approche fonctionnelle invite à chercher la CAUSE (ici, très probablement un épisode dépressif) plutôt qu'à répondre par des règles ou des sanctions. La bientraitance implique de respecter la dignité de Mme A. même dans ses moments de retrait, et de ne pas confondre ses symptômes avec de la « mauvaise volonté ».</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60" w:before="60"/>
      </w:pPr>
      <w:r>
        <w:rPr>
          <w:rFonts w:ascii="Times New Roman" w:cs="Times New Roman" w:eastAsia="Times New Roman" w:hAnsi="Times New Roman"/>
          <w:b w:val="false"/>
          <w:bCs w:val="false"/>
          <w:i w:val="false"/>
          <w:iCs w:val="false"/>
          <w:color w:val="1F2937"/>
          <w:sz w:val="22"/>
          <w:szCs w:val="22"/>
        </w:rPr>
        <w:t xml:space="preserve">Dans un foyer d'hébergement accueillant des adultes avec handicap mental et psychique, les troubles de l'humeur sont parmi les comorbidités les plus fréquentes — et les plus sous-repérées. L'équipe éducative est en première ligne d'observation, mais elle n'a pas de formation clinique systématique.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Deux leviers concrets pour le chef de service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Former les équipes à un lexique sémiologique minimal (les 9 critères de l'EDC reformulés en termes observables) pour améliorer la qualité des transmissions aux psychiatres.</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Structurer un protocole de signalement interne qui permet de réagir rapidement à une dégradation thymique, en lien avec l'IDH/DUI (Imago) et le psychiatre référent — sans pathologiser chaque variation d'humeur.</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Ressources pour approfondir</w:t>
      </w:r>
    </w:p>
    <w:p>
      <w:pPr>
        <w:spacing w:after="60" w:before="60"/>
      </w:pPr>
      <w:r>
        <w:rPr>
          <w:rFonts w:ascii="Times New Roman" w:cs="Times New Roman" w:eastAsia="Times New Roman" w:hAnsi="Times New Roman"/>
          <w:b w:val="false"/>
          <w:bCs w:val="false"/>
          <w:i w:val="false"/>
          <w:iCs w:val="false"/>
          <w:color w:val="1F2937"/>
          <w:sz w:val="22"/>
          <w:szCs w:val="22"/>
        </w:rPr>
        <w:t xml:space="preserve">Les références suivantes ont été consultées et vérifiées pendant cette séance :</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hyperlink w:history="1" r:id="rIdrftcqbogi9x02kfwu0jvy">
        <w:r>
          <w:rPr>
            <w:rFonts w:ascii="Times New Roman" w:cs="Times New Roman" w:eastAsia="Times New Roman" w:hAnsi="Times New Roman"/>
            <w:color w:val="1155CC"/>
            <w:sz w:val="22"/>
            <w:szCs w:val="22"/>
            <w:u w:val="single"/>
          </w:rPr>
          <w:t xml:space="preserve">Psycom — Troubles dépressifs (définition, symptômes, traitement)</w:t>
        </w:r>
      </w:hyperlink>
    </w:p>
    <w:p>
      <w:pPr>
        <w:spacing w:after="60" w:before="60"/>
      </w:pPr>
      <w:hyperlink w:history="1" r:id="rIdxki1pkyerkffyfboq-pzn">
        <w:r>
          <w:rPr>
            <w:rFonts w:ascii="Times New Roman" w:cs="Times New Roman" w:eastAsia="Times New Roman" w:hAnsi="Times New Roman"/>
            <w:color w:val="1155CC"/>
            <w:sz w:val="22"/>
            <w:szCs w:val="22"/>
            <w:u w:val="single"/>
          </w:rPr>
          <w:t xml:space="preserve">Psycom — Troubles bipolaires (phases, types, traitements)</w:t>
        </w:r>
      </w:hyperlink>
    </w:p>
    <w:p>
      <w:pPr>
        <w:spacing w:after="60" w:before="60"/>
      </w:pPr>
      <w:hyperlink w:history="1" r:id="rIdnrbqxbcltkwhsnv6a4sn6">
        <w:r>
          <w:rPr>
            <w:rFonts w:ascii="Times New Roman" w:cs="Times New Roman" w:eastAsia="Times New Roman" w:hAnsi="Times New Roman"/>
            <w:color w:val="1155CC"/>
            <w:sz w:val="22"/>
            <w:szCs w:val="22"/>
            <w:u w:val="single"/>
          </w:rPr>
          <w:t xml:space="preserve">Merck Manual Pro — Overview of Mood Disorders (EN)</w:t>
        </w:r>
      </w:hyperlink>
    </w:p>
    <w:p>
      <w:pPr>
        <w:spacing w:after="60" w:before="60"/>
      </w:pPr>
      <w:hyperlink w:history="1" r:id="rIdogfso_5rrhfgnjs3ewun2">
        <w:r>
          <w:rPr>
            <w:rFonts w:ascii="Times New Roman" w:cs="Times New Roman" w:eastAsia="Times New Roman" w:hAnsi="Times New Roman"/>
            <w:color w:val="1155CC"/>
            <w:sz w:val="22"/>
            <w:szCs w:val="22"/>
            <w:u w:val="single"/>
          </w:rPr>
          <w:t xml:space="preserve">Dépression Bipolarité Pratique — Critères DSM-5 de l'épisode dépressif majeur</w:t>
        </w:r>
      </w:hyperlink>
    </w:p>
    <w:p>
      <w:pPr>
        <w:spacing w:after="60" w:before="60"/>
      </w:pPr>
      <w:hyperlink w:history="1" r:id="rIdjrkfqenogbbpipqzsn0wq">
        <w:r>
          <w:rPr>
            <w:rFonts w:ascii="Times New Roman" w:cs="Times New Roman" w:eastAsia="Times New Roman" w:hAnsi="Times New Roman"/>
            <w:color w:val="1155CC"/>
            <w:sz w:val="22"/>
            <w:szCs w:val="22"/>
            <w:u w:val="single"/>
          </w:rPr>
          <w:t xml:space="preserve">HAS — Épisode dépressif caractérisé de l'adulte : prise en charge en premier recours (2017)</w:t>
        </w:r>
      </w:hyperlink>
    </w:p>
    <w:p>
      <w:pPr>
        <w:spacing w:after="60" w:before="60"/>
      </w:pPr>
      <w:hyperlink w:history="1" r:id="rIdxvalrzmbcy8fo_j_soj3i">
        <w:r>
          <w:rPr>
            <w:rFonts w:ascii="Times New Roman" w:cs="Times New Roman" w:eastAsia="Times New Roman" w:hAnsi="Times New Roman"/>
            <w:color w:val="1155CC"/>
            <w:sz w:val="22"/>
            <w:szCs w:val="22"/>
            <w:u w:val="single"/>
          </w:rPr>
          <w:t xml:space="preserve">HAS — Page thématique Dépression ⚠️ page non lisible hors navigateur (vérifiée le 06/09/2026 : répond 200 mais ne délivre que l'ossature du site ; rien n'en a été tiré)</w:t>
        </w:r>
      </w:hyperlink>
    </w:p>
    <w:p>
      <w:pPr>
        <w:spacing w:after="60" w:before="60"/>
      </w:pPr>
      <w:hyperlink w:history="1" r:id="rIdcim10oms20260911">
        <w:r>
          <w:rPr>
            <w:rFonts w:ascii="Times New Roman" w:cs="Times New Roman" w:eastAsia="Times New Roman" w:hAnsi="Times New Roman"/>
            <w:color w:val="1155CC"/>
            <w:sz w:val="22"/>
            <w:szCs w:val="22"/>
            <w:u w:val="single"/>
          </w:rPr>
          <w:t xml:space="preserve">CIM-10, version 2019 (OMS) — navigateur de la 10ᵉ révision</w:t>
        </w:r>
      </w:hyperlink>
      <w:r>
        <w:rPr>
          <w:rFonts w:ascii="Times New Roman" w:cs="Times New Roman" w:eastAsia="Times New Roman" w:hAnsi="Times New Roman"/>
          <w:color w:val="1F2937"/>
          <w:sz w:val="22"/>
          <w:szCs w:val="22"/>
        </w:rPr>
        <w:t xml:space="preserve"> — la révision précédente, encore utilisée par de nombreux systèmes d'information. Vérifiée le 11/09/2026 : HTTP 200, 3 612 caractères utiles, interface en anglais. AJOUTÉE LE 11/09/2026 : cette classification était nommée dans le corps de la leçon sans aucune adresse.</w:t>
      </w:r>
    </w:p>
    <w:p>
      <w:pPr>
        <w:spacing w:after="60" w:before="60"/>
      </w:pPr>
      <w:r>
        <w:rPr>
          <w:rFonts w:ascii="Times New Roman" w:cs="Times New Roman" w:eastAsia="Times New Roman" w:hAnsi="Times New Roman"/>
          <w:b w:val="false"/>
          <w:bCs w:val="false"/>
          <w:i w:val="false"/>
          <w:iCs w:val="false"/>
          <w:color w:val="1F2937"/>
          <w:sz w:val="22"/>
          <w:szCs w:val="22"/>
        </w:rPr>
        <w:t xml:space="preserve"/>
      </w:r>
    </w:p>
    <w:p>
      <w:pPr>
        <w:spacing w:after="60" w:before="60"/>
      </w:pPr>
      <w:r>
        <w:rPr>
          <w:rFonts w:ascii="Times New Roman" w:cs="Times New Roman" w:eastAsia="Times New Roman" w:hAnsi="Times New Roman"/>
          <w:b w:val="false"/>
          <w:bCs w:val="false"/>
          <w:i w:val="false"/>
          <w:iCs w:val="false"/>
          <w:color w:val="1F2937"/>
          <w:sz w:val="22"/>
          <w:szCs w:val="22"/>
        </w:rPr>
        <w:t xml:space="preserve">Sources inaccessibles lors de cette session : ⛔ Cairn.info (403 Forbidden) — consulter directement sur le site avec un accès institutionnel.</w:t>
      </w:r>
    </w:p>
    <w:p>
      <w:pPr>
        <w:spacing w:after="100" w:before="100"/>
      </w:pPr>
      <w:r>
        <w:rPr>
          <w:color w:val="AAAAAA"/>
          <w:sz w:val="18"/>
          <w:szCs w:val="18"/>
        </w:rPr>
        <w:t xml:space="preserve">─────────────────────────────────────────────────────</w:t>
      </w:r>
    </w:p>
    <w:p>
      <w:pPr>
        <w:pStyle w:val="Heading2"/>
        <w:spacing w:after="120" w:before="300"/>
      </w:pPr>
      <w:r>
        <w:rPr>
          <w:rFonts w:ascii="Times New Roman" w:cs="Times New Roman" w:eastAsia="Times New Roman" w:hAnsi="Times New Roman"/>
          <w:b/>
          <w:bCs/>
          <w:color w:val="1B3A6B"/>
          <w:sz w:val="30"/>
          <w:szCs w:val="30"/>
        </w:rPr>
        <w:t xml:space="preserve">🔜 Prochaine leçon — n°07</w:t>
      </w:r>
    </w:p>
    <w:p>
      <w:pPr>
        <w:spacing w:after="60" w:before="60"/>
      </w:pPr>
      <w:r>
        <w:rPr>
          <w:rFonts w:ascii="Times New Roman" w:cs="Times New Roman" w:eastAsia="Times New Roman" w:hAnsi="Times New Roman"/>
          <w:b w:val="false"/>
          <w:bCs w:val="false"/>
          <w:i w:val="false"/>
          <w:iCs w:val="false"/>
          <w:color w:val="1F2937"/>
          <w:sz w:val="22"/>
          <w:szCs w:val="22"/>
        </w:rPr>
        <w:t xml:space="preserve">Thème : Les troubles psychotiques — schizophrénie et troubles apparentés.</w:t>
      </w:r>
    </w:p>
    <w:p>
      <w:pPr>
        <w:spacing w:after="60" w:before="60"/>
      </w:pPr>
      <w:r>
        <w:rPr>
          <w:rFonts w:ascii="Times New Roman" w:cs="Times New Roman" w:eastAsia="Times New Roman" w:hAnsi="Times New Roman"/>
          <w:b w:val="false"/>
          <w:bCs w:val="false"/>
          <w:i w:val="false"/>
          <w:iCs w:val="false"/>
          <w:color w:val="1F2937"/>
          <w:sz w:val="22"/>
          <w:szCs w:val="22"/>
        </w:rPr>
        <w:t xml:space="preserve">Au programme : symptômes positifs (hallucinations, délires) et négatifs (aboulie, retrait) ; désorganisation ; critères CIM-11/DSM-5-TR ; modèles explicatifs (vulnérabilité-stress) ; réhabilitation psychosociale. Pont pro : accompagnement en foyer d'hébergement, prévention des crises, lien avec la RBPP HAS sur les comportements-problèmes.</w:t>
      </w:r>
    </w:p>
    <w:p>
      <w:pPr>
        <w:spacing w:after="100" w:before="100"/>
      </w:pPr>
      <w:r>
        <w:rPr>
          <w:color w:val="AAAAAA"/>
          <w:sz w:val="18"/>
          <w:szCs w:val="18"/>
        </w:rPr>
        <w:t xml:space="preserve">─────────────────────────────────────────────────────</w:t>
      </w:r>
    </w:p>
    <w:p>
      <w:pPr>
        <w:spacing w:after="0" w:before="200"/>
        <w:jc w:val="center"/>
      </w:pPr>
      <w:r>
        <w:rPr>
          <w:rFonts w:ascii="Times New Roman" w:cs="Times New Roman" w:eastAsia="Times New Roman" w:hAnsi="Times New Roman"/>
          <w:i/>
          <w:iCs/>
          <w:color w:val="999999"/>
          <w:sz w:val="18"/>
          <w:szCs w:val="18"/>
        </w:rPr>
        <w:t xml:space="preserve">Parcours Psychopathologie clinique · Leçon 06/20 · 20 juillet 2026 · Usage personnel et professionnel</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20/07/2026, relue le 06/09/2026 : les six URL répondent 200 et chaque source a été rouverte. Quatre corrections.</w:t>
      </w:r>
    </w:p>
    <w:p>
      <w:pPr>
        <w:spacing w:after="80"/>
      </w:pPr>
      <w:r>
        <w:rPr>
          <w:rFonts w:ascii="Times New Roman" w:cs="Times New Roman" w:eastAsia="Times New Roman" w:hAnsi="Times New Roman"/>
          <w:color w:val="1F2937"/>
          <w:sz w:val="22"/>
          <w:szCs w:val="22"/>
        </w:rPr>
        <w:t xml:space="preserve">① LA CORRECTION LA PLUS IMPORTANTE POUR UN USAGE PROFESSIONNEL. Version d’origine, énoncée deux fois — dans la ligne « Usage en France » du tableau comparatif et dans le paragraphe « À noter » qui le suit : « En France, le codage médico-administratif (ALD, PMSI) utilise la CIM-11. » C’est faux : le PMSI code les diagnostics en CIM-10, avec les extensions publiées par le ministère français de la santé. La CIM-11 est bien la classification internationale en vigueur à l’OMS depuis 2022 — mais c’est une autre question que celle du codage de facturation et de statistique en France, et la leçon confondait les deux. C’est la seule erreur de cette leçon susceptible de sortir d’une lecture personnelle pour entrer dans un écrit institutionnel ou une réunion avec le médecin coordinateur.</w:t>
      </w:r>
    </w:p>
    <w:p>
      <w:pPr>
        <w:spacing w:after="80"/>
      </w:pPr>
      <w:r>
        <w:rPr>
          <w:rFonts w:ascii="Times New Roman" w:cs="Times New Roman" w:eastAsia="Times New Roman" w:hAnsi="Times New Roman"/>
          <w:color w:val="1F2937"/>
          <w:sz w:val="22"/>
          <w:szCs w:val="22"/>
        </w:rPr>
        <w:t xml:space="preserve">② La cyclothymie donnée pour une catégorie non officielle. Version d’origine, dans le tableau : « Cyclothymie — DSM-5-TR : Trouble bipolaire III (non officiel) ». Le trouble cyclothymique EST une catégorie du DSM-5 ; le « bipolaire III » est une étiquette informelle qui n’y figure pas. Défaut d’autant plus net que la section 3 de la MÊME leçon décrit correctement le trouble cyclothymique, avec son critère de deux ans de symptômes sub-syndromiques. La théorie avait raison, le tableau avait tort — et il suffisait de relire l’une à la lumière de l’autre.</w:t>
      </w:r>
    </w:p>
    <w:p>
      <w:pPr>
        <w:spacing w:after="80"/>
      </w:pPr>
      <w:r>
        <w:rPr>
          <w:rFonts w:ascii="Times New Roman" w:cs="Times New Roman" w:eastAsia="Times New Roman" w:hAnsi="Times New Roman"/>
          <w:color w:val="1F2937"/>
          <w:sz w:val="22"/>
          <w:szCs w:val="22"/>
        </w:rPr>
        <w:t xml:space="preserve">③ Le rang de la source des critères diagnostiques. Les neuf critères de l’épisode dépressif caractérisé et le seuil de cinq sur deux semaines étaient attribués à depression-bipolarite-pratique.com, un site professionnel privé. Ils sont conformes à ce qui est couramment publié, mais n’ont été recoupés ni sur le manuel ni sur une source de premier rang. Une réserve a été ajoutée à l’endroit où ils sont donnés, avec le renvoi à la recommandation de la HAS, qui est la référence francophone pour cet usage.</w:t>
      </w:r>
    </w:p>
    <w:p>
      <w:pPr>
        <w:spacing w:after="80"/>
      </w:pPr>
      <w:r>
        <w:rPr>
          <w:rFonts w:ascii="Times New Roman" w:cs="Times New Roman" w:eastAsia="Times New Roman" w:hAnsi="Times New Roman"/>
          <w:color w:val="1F2937"/>
          <w:sz w:val="22"/>
          <w:szCs w:val="22"/>
        </w:rPr>
        <w:t xml:space="preserve">④ Une ressource qui ne délivre rien hors navigateur. La page thématique « Dépression » de la HAS répond 200 mais ne renvoie que l’ossature du site — menus, pied de page, formulaire de recherche — son contenu étant rendu en JavaScript. Elle est conservée et signalée comme telle. La seconde page de la HAS citée, en revanche, délivre bien son contenu : sa date de validation, le 4 octobre 2017, confirme le « (2017) » que la leçon lui attribuait.</w:t>
      </w:r>
    </w:p>
    <w:p>
      <w:pPr>
        <w:spacing w:after="80"/>
      </w:pPr>
      <w:r>
        <w:rPr>
          <w:rFonts w:ascii="Times New Roman" w:cs="Times New Roman" w:eastAsia="Times New Roman" w:hAnsi="Times New Roman"/>
          <w:color w:val="1F2937"/>
          <w:sz w:val="22"/>
          <w:szCs w:val="22"/>
        </w:rPr>
        <w:t xml:space="preserve">Vérifié lors de la relecture et inchangé : les neuf critères de l’épisode dépressif caractérisé et leur seuil ; les durées des épisodes — au moins une semaine ou hospitalisation pour la manie du type I, au moins quatre jours pour l’hypomanie du type II, au moins deux ans pour la cyclothymie ; la distinction entre trouble bipolaire de type I et de type II ; les signes de l’épisode maniaque attribués à Psycom ; la datation de la recommandation de la HAS de 2017, exacte ; et le point épistémologique d’ouverture, qui rappelle que les classifications décrivent des syndromes et non des causes. La leçon déclare par ailleurs honnêtement une source inaccessible — Cairn.info en 403 — ce que toutes les leçons de ce parcours ne font pas.</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11 septembre 2026</w:t>
      </w:r>
    </w:p>
    <w:p>
      <w:pPr>
        <w:spacing w:after="60" w:before="60"/>
      </w:pPr>
      <w:r>
        <w:rPr>
          <w:rFonts w:ascii="Times New Roman" w:cs="Times New Roman" w:eastAsia="Times New Roman" w:hAnsi="Times New Roman"/>
          <w:b/>
          <w:bCs/>
          <w:color w:val="1F2937"/>
          <w:sz w:val="22"/>
          <w:szCs w:val="22"/>
        </w:rPr>
        <w:t xml:space="preserve">Relue le 11/09/2026 par le test d'attribution des pages, passé sur les 135 leçons du dépôt. UNE correction.</w:t>
      </w:r>
    </w:p>
    <w:p>
      <w:pPr>
        <w:spacing w:after="60" w:before="60"/>
      </w:pPr>
      <w:r>
        <w:rPr>
          <w:rFonts w:ascii="Times New Roman" w:cs="Times New Roman" w:eastAsia="Times New Roman" w:hAnsi="Times New Roman"/>
          <w:color w:val="1F2937"/>
          <w:sz w:val="22"/>
          <w:szCs w:val="22"/>
        </w:rPr>
        <w:t xml:space="preserve">① Une nosographie était nommée sans adresse. Cette leçon invoque CIM-10 dans son corps sans qu'aucune adresse ne figure dans ses ressources. Ce sont pourtant les instruments qui fondent ses catégories : un lecteur voulant savoir laquelle des deux classifications dit quoi — et elles divergent, notamment sur les troubles de la personnalité — devait la chercher lui-même. Le défaut est répandu dans le parcours : HUIT leçons sur quinze nommaient au moins une nosographie sans adresse — DSM-5-TR dans cinq, CIM-11 dans trois, CIM-10 dans deux, DSM-5 dans deux.</w:t>
      </w:r>
    </w:p>
    <w:p>
      <w:pPr>
        <w:spacing w:after="60" w:before="60"/>
      </w:pPr>
      <w:r>
        <w:rPr>
          <w:rFonts w:ascii="Times New Roman" w:cs="Times New Roman" w:eastAsia="Times New Roman" w:hAnsi="Times New Roman"/>
          <w:color w:val="1F2937"/>
          <w:sz w:val="22"/>
          <w:szCs w:val="22"/>
        </w:rPr>
        <w:t xml:space="preserve">À ne pas confondre avec les quatre leçons — 02, 05, 09 et 11 — qui nommaient déjà leur classification dans le LIBELLÉ d'une ressource, à côté du lien : celles-là n'avaient aucun défaut et n'ont pas été touchées. Une première version de ce contrôle les avait signalées à tort, parce qu'elle ne cherchait le nom de la nosographie que dans l'URL — or ni icd.who.int/fr ni l'adresse de l'APA ne contiennent la chaîne cherchée. Le contrôle regarde désormais tout le texte de la section Ressources.</w:t>
      </w:r>
    </w:p>
    <w:p>
      <w:pPr>
        <w:spacing w:after="60" w:before="60"/>
      </w:pPr>
      <w:r>
        <w:rPr>
          <w:rFonts w:ascii="Times New Roman" w:cs="Times New Roman" w:eastAsia="Times New Roman" w:hAnsi="Times New Roman"/>
          <w:color w:val="1F2937"/>
          <w:sz w:val="22"/>
          <w:szCs w:val="22"/>
        </w:rPr>
        <w:t xml:space="preserve">Ce qui a été fait. Les adresses officielles sont ajoutées, testées le 11/09/2026 : icd.who.int/fr pour la CIM-11, icd.who.int/browse10/2019/en pour la CIM-10 (3 612 caractères utiles), psychiatry.org/psychiatrists/practice/dsm pour le DSM (21 859 caractères, où « DSM-5-TR » figure dix-neuf fois). Une réserve écrite plutôt que tue : le navigateur de la CIM-11 est une application rendue côté client, qui ne sert que 808 caractères au téléchargement direct — elle donne accès à la classification, elle ne se cite pas comme une page de contenu.</w:t>
      </w:r>
    </w:p>
    <w:p>
      <w:pPr>
        <w:spacing w:after="80"/>
      </w:pPr>
      <w:r>
        <w:rPr>
          <w:rFonts w:ascii="Times New Roman" w:cs="Times New Roman" w:eastAsia="Times New Roman" w:hAnsi="Times New Roman"/>
          <w:color w:val="1F2937"/>
          <w:sz w:val="22"/>
          <w:szCs w:val="22"/>
        </w:rPr>
        <w:t xml:space="preserve">Reste un point non corrigé et signalé ici : le pont professionnel invoque deux fois « la RBPP HAS sur les comportements-problèmes » sans en donner le titre exact ni la date. C’est ce qu’interdit la règle du parcours sur le pont pro — mais cette règle a été ajoutée le 27/08/2026, soit après la production de cette leçon. Le défaut est réel ; il n’enfreignait aucune consigne existante au moment où il a été écrit. Avant de reprendre cette phrase dans un écrit professionnel, retrouve la recommandation par son titre et sa date sur has-sante.fr.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tcqbogi9x02kfwu0jvy" Type="http://schemas.openxmlformats.org/officeDocument/2006/relationships/hyperlink" Target="https://www.psycom.org/sinformer/la-sante-mentale/les-troubles-psy/troubles-depressifs/" TargetMode="External"/><Relationship Id="rIdxki1pkyerkffyfboq-pzn" Type="http://schemas.openxmlformats.org/officeDocument/2006/relationships/hyperlink" Target="https://www.psycom.org/sinformer/la-sante-mentale/les-troubles-psy/troubles-bipolaires/" TargetMode="External"/><Relationship Id="rIdnrbqxbcltkwhsnv6a4sn6" Type="http://schemas.openxmlformats.org/officeDocument/2006/relationships/hyperlink" Target="https://www.merckmanuals.com/professional/psychiatric-disorders/mood-disorders/overview-of-mood-disorders" TargetMode="External"/><Relationship Id="rIdogfso_5rrhfgnjs3ewun2" Type="http://schemas.openxmlformats.org/officeDocument/2006/relationships/hyperlink" Target="https://www.depression-bipolarite-pratique.com/criteres-dsm-5-depisode-depressif-majeur/" TargetMode="External"/><Relationship Id="rIdjrkfqenogbbpipqzsn0wq" Type="http://schemas.openxmlformats.org/officeDocument/2006/relationships/hyperlink" Target="https://www.has-sante.fr/jcms/c_1739917/fr/episode-depressif-caracterise-de-l-adulte-prise-en-charge-en-premier-recours" TargetMode="External"/><Relationship Id="rIdxvalrzmbcy8fo_j_soj3i" Type="http://schemas.openxmlformats.org/officeDocument/2006/relationships/hyperlink" Target="https://www.has-sante.fr/jcms/p_3261767/fr/depression" TargetMode="External"/><Relationship Id="rId13" Type="http://schemas.openxmlformats.org/officeDocument/2006/relationships/fontTable" Target="fontTable.xml"/><Relationship Id="rIdcim10oms20260911" Type="http://schemas.openxmlformats.org/officeDocument/2006/relationships/hyperlink" Target="https://icd.who.int/browse10/2019/en"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2026-07-20T06:07:24.813Z</dcterms:created>
  <dcterms:modified xsi:type="dcterms:W3CDTF">2026-07-20T06:07:24.940Z</dcterms:modified>
</cp:coreProperties>
</file>

<file path=docProps/custom.xml><?xml version="1.0" encoding="utf-8"?>
<Properties xmlns="http://schemas.openxmlformats.org/officeDocument/2006/custom-properties" xmlns:vt="http://schemas.openxmlformats.org/officeDocument/2006/docPropsVTypes"/>
</file>