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200" w:before="200"/>
        <w:jc w:val="center"/>
      </w:pPr>
      <w:r>
        <w:rPr>
          <w:rFonts w:ascii="Times New Roman" w:cs="Times New Roman" w:eastAsia="Times New Roman" w:hAnsi="Times New Roman"/>
          <w:b/>
          <w:bCs/>
          <w:color w:val="1B3A6B"/>
          <w:sz w:val="52"/>
          <w:szCs w:val="52"/>
        </w:rPr>
        <w:t xml:space="preserve">Leçon Psychopathologie clinique n°7</w:t>
      </w:r>
    </w:p>
    <w:p>
      <w:pPr>
        <w:pStyle w:val="Heading1"/>
        <w:spacing w:after="200" w:before="200"/>
        <w:jc w:val="center"/>
      </w:pPr>
      <w:r>
        <w:rPr>
          <w:rFonts w:ascii="Times New Roman" w:cs="Times New Roman" w:eastAsia="Times New Roman" w:hAnsi="Times New Roman"/>
          <w:b/>
          <w:bCs/>
          <w:color w:val="1B3A6B"/>
          <w:sz w:val="52"/>
          <w:szCs w:val="52"/>
        </w:rPr>
        <w:t xml:space="preserve">Les troubles psychotiques : schizophrénie et troubles apparentés</w:t>
      </w:r>
    </w:p>
    <w:p>
      <w:pPr>
        <w:spacing w:after="300" w:before="80"/>
        <w:jc w:val="center"/>
      </w:pPr>
      <w:r>
        <w:rPr>
          <w:rFonts w:ascii="Times New Roman" w:cs="Times New Roman" w:eastAsia="Times New Roman" w:hAnsi="Times New Roman"/>
          <w:i/>
          <w:iCs/>
          <w:color w:val="1B3A6B"/>
          <w:sz w:val="28"/>
          <w:szCs w:val="28"/>
        </w:rPr>
        <w:t xml:space="preserve">Date : 27 juillet 2026 — Module Intermédiaire — leçon 7/20</w:t>
      </w:r>
    </w:p>
    <w:p>
      <w:pPr>
        <w:shd w:fill="FFF4E5" w:color="auto" w:val="clear"/>
        <w:spacing w:after="80" w:before="80"/>
        <w:ind w:left="288" w:right="288"/>
      </w:pPr>
      <w:r>
        <w:rPr>
          <w:rFonts w:ascii="Times New Roman" w:cs="Times New Roman" w:eastAsia="Times New Roman" w:hAnsi="Times New Roman"/>
          <w:i/>
          <w:iCs/>
          <w:color w:val="92400E"/>
          <w:sz w:val="20"/>
          <w:szCs w:val="20"/>
        </w:rPr>
        <w:t xml:space="preserve">⚠️ Corrigé le 06/09/2026 — cette leçon annonçait un parcours de 16 leçons (« 7/16 »). Le parcours a été étendu de 16 à 20 leçons entre le 10 et le 14 août 2026 : les leçons 01 à 09 portaient encore l’ancien total, les leçons 10 et suivantes le nouveau. Seul le dénominateur a été repris ici ; le contenu de cette leçon n’a pas été relu à cette occasion.</w:t>
      </w:r>
    </w:p>
    <w:p>
      <w:pPr>
        <w:spacing w:after="120" w:before="120"/>
      </w:pPr>
      <w:r>
        <w:t xml:space="preserve"/>
      </w:r>
    </w:p>
    <w:p>
      <w:pPr>
        <w:shd w:fill="FFF4E5" w:color="auto" w:val="clear"/>
        <w:spacing w:after="100" w:before="100"/>
        <w:ind w:left="360"/>
      </w:pPr>
      <w:r>
        <w:rPr>
          <w:rFonts w:ascii="Times New Roman" w:cs="Times New Roman" w:eastAsia="Times New Roman" w:hAnsi="Times New Roman"/>
          <w:color w:val="1F2937"/>
          <w:sz w:val="22"/>
          <w:szCs w:val="22"/>
        </w:rPr>
        <w:t xml:space="preserve">⚠️ Cadre déontologique : Cette leçon vise à COMPRENDRE la psychopathologie pour mieux observer, accompagner et orienter les personnes accompagnées — en aucun cas à poser un diagnostic, acte réservé aux médecins psychiatres et psychologues cliniciens. La posture du professionnel non-soignant est celle de l'observation attentive, de l'écoute et du signalement, dans le respect absolu de la personne.</w:t>
      </w:r>
    </w:p>
    <w:p>
      <w:pPr>
        <w:spacing w:after="120" w:before="120"/>
      </w:pPr>
      <w:r>
        <w:t xml:space="preserve"/>
      </w:r>
    </w:p>
    <w:p>
      <w:pPr>
        <w:pStyle w:val="Heading2"/>
        <w:spacing w:after="100" w:before="300"/>
      </w:pPr>
      <w:r>
        <w:rPr>
          <w:rFonts w:ascii="Times New Roman" w:cs="Times New Roman" w:eastAsia="Times New Roman" w:hAnsi="Times New Roman"/>
          <w:b/>
          <w:bCs/>
          <w:color w:val="1B3A6B"/>
          <w:sz w:val="30"/>
          <w:szCs w:val="30"/>
        </w:rPr>
        <w:t xml:space="preserve">🎯 Objectif &amp; continuité</w:t>
      </w:r>
    </w:p>
    <w:p>
      <w:pPr>
        <w:spacing w:after="60" w:before="60"/>
      </w:pPr>
      <w:r>
        <w:rPr>
          <w:rFonts w:ascii="Times New Roman" w:cs="Times New Roman" w:eastAsia="Times New Roman" w:hAnsi="Times New Roman"/>
          <w:color w:val="1F2937"/>
          <w:sz w:val="22"/>
          <w:szCs w:val="22"/>
        </w:rPr>
        <w:t xml:space="preserve">À l'issue de cette leçon, tu seras capable de :</w:t>
      </w:r>
    </w:p>
    <w:p>
      <w:pPr>
        <w:pStyle w:val="ListParagraph"/>
        <w:numPr>
          <w:ilvl w:val="0"/>
          <w:numId w:val="1"/>
        </w:numPr>
        <w:spacing w:after="40" w:before="40"/>
      </w:pPr>
      <w:r>
        <w:rPr>
          <w:rFonts w:ascii="Times New Roman" w:cs="Times New Roman" w:eastAsia="Times New Roman" w:hAnsi="Times New Roman"/>
          <w:color w:val="1F2937"/>
          <w:sz w:val="22"/>
          <w:szCs w:val="22"/>
        </w:rPr>
        <w:t xml:space="preserve">distinguer la psychose (état) de la schizophrénie (diagnostic) et de ses troubles apparentés ;</w:t>
      </w:r>
    </w:p>
    <w:p>
      <w:pPr>
        <w:pStyle w:val="ListParagraph"/>
        <w:numPr>
          <w:ilvl w:val="0"/>
          <w:numId w:val="1"/>
        </w:numPr>
        <w:spacing w:after="40" w:before="40"/>
      </w:pPr>
      <w:r>
        <w:rPr>
          <w:rFonts w:ascii="Times New Roman" w:cs="Times New Roman" w:eastAsia="Times New Roman" w:hAnsi="Times New Roman"/>
          <w:color w:val="1F2937"/>
          <w:sz w:val="22"/>
          <w:szCs w:val="22"/>
        </w:rPr>
        <w:t xml:space="preserve">identifier les trois dimensions symptomatiques (symptômes positifs, négatifs, désorganisation) et les symptômes cognitifs ;</w:t>
      </w:r>
    </w:p>
    <w:p>
      <w:pPr>
        <w:pStyle w:val="ListParagraph"/>
        <w:numPr>
          <w:ilvl w:val="0"/>
          <w:numId w:val="1"/>
        </w:numPr>
        <w:spacing w:after="40" w:before="40"/>
      </w:pPr>
      <w:r>
        <w:rPr>
          <w:rFonts w:ascii="Times New Roman" w:cs="Times New Roman" w:eastAsia="Times New Roman" w:hAnsi="Times New Roman"/>
          <w:color w:val="1F2937"/>
          <w:sz w:val="22"/>
          <w:szCs w:val="22"/>
        </w:rPr>
        <w:t xml:space="preserve">différencier les principaux troubles du spectre psychotique (schizophrénie, trouble délirant, psychose brève, trouble schizoaffectif) ;</w:t>
      </w:r>
    </w:p>
    <w:p>
      <w:pPr>
        <w:pStyle w:val="ListParagraph"/>
        <w:numPr>
          <w:ilvl w:val="0"/>
          <w:numId w:val="1"/>
        </w:numPr>
        <w:spacing w:after="40" w:before="40"/>
      </w:pPr>
      <w:r>
        <w:rPr>
          <w:rFonts w:ascii="Times New Roman" w:cs="Times New Roman" w:eastAsia="Times New Roman" w:hAnsi="Times New Roman"/>
          <w:color w:val="1F2937"/>
          <w:sz w:val="22"/>
          <w:szCs w:val="22"/>
        </w:rPr>
        <w:t xml:space="preserve">adopter une posture professionnelle non stigmatisante, centrée sur le rétablissement.</w:t>
      </w:r>
    </w:p>
    <w:p>
      <w:pPr>
        <w:spacing w:after="120" w:before="120"/>
      </w:pPr>
      <w:r>
        <w:t xml:space="preserve"/>
      </w:r>
    </w:p>
    <w:p>
      <w:pPr>
        <w:spacing w:after="60" w:before="60"/>
      </w:pPr>
      <w:r>
        <w:rPr>
          <w:rFonts w:ascii="Times New Roman" w:cs="Times New Roman" w:eastAsia="Times New Roman" w:hAnsi="Times New Roman"/>
          <w:color w:val="1F2937"/>
          <w:sz w:val="22"/>
          <w:szCs w:val="22"/>
        </w:rPr>
        <w:t xml:space="preserve">Continuité : la leçon 6 t'a permis de maîtriser les troubles de l'humeur — dépression et bipolarité. Les troubles psychotiques partagent parfois des symptômes avec les épisodes maniaques ou dépressifs sévères : savoir les distinguer est crucial. Cette leçon construit sur les bases de sémiologie (leçon 3) et de l'entretien clinique (leçon 4).</w:t>
      </w:r>
    </w:p>
    <w:p>
      <w:pPr>
        <w:spacing w:after="120" w:before="120"/>
      </w:pPr>
      <w:r>
        <w:t xml:space="preserve"/>
      </w:r>
    </w:p>
    <w:p>
      <w:pPr>
        <w:pStyle w:val="Heading2"/>
        <w:spacing w:after="100" w:before="300"/>
      </w:pPr>
      <w:r>
        <w:rPr>
          <w:rFonts w:ascii="Times New Roman" w:cs="Times New Roman" w:eastAsia="Times New Roman" w:hAnsi="Times New Roman"/>
          <w:b/>
          <w:bCs/>
          <w:color w:val="1B3A6B"/>
          <w:sz w:val="30"/>
          <w:szCs w:val="30"/>
        </w:rPr>
        <w:t xml:space="preserve">🔬 Théorie (20%) — Les troubles psychotiques : concepts et cadres cliniques</w:t>
      </w:r>
    </w:p>
    <w:p>
      <w:pPr>
        <w:pStyle w:val="Heading3"/>
        <w:spacing w:after="80" w:before="200"/>
      </w:pPr>
      <w:r>
        <w:rPr>
          <w:rFonts w:ascii="Times New Roman" w:cs="Times New Roman" w:eastAsia="Times New Roman" w:hAnsi="Times New Roman"/>
          <w:b/>
          <w:bCs/>
          <w:color w:val="1F2937"/>
          <w:sz w:val="26"/>
          <w:szCs w:val="26"/>
        </w:rPr>
        <w:t xml:space="preserve">1. Qu'est-ce que la psychose ?</w:t>
      </w:r>
    </w:p>
    <w:p>
      <w:pPr>
        <w:spacing w:after="60" w:before="60"/>
      </w:pPr>
      <w:r>
        <w:rPr>
          <w:rFonts w:ascii="Times New Roman" w:cs="Times New Roman" w:eastAsia="Times New Roman" w:hAnsi="Times New Roman"/>
          <w:color w:val="1F2937"/>
          <w:sz w:val="22"/>
          <w:szCs w:val="22"/>
        </w:rPr>
        <w:t xml:space="preserve">La psychose n'est pas une maladie en soi, mais une description d'un état mental. Wikipedia (EN, Psychosis) la définit comme « l'incapacité à distinguer ce qui est réel de ce qui ne l'est pas » (synthèse, non citation directe). Il s'agit d'un syndrome — un ensemble de symptômes — qui peut survenir dans le cadre de plusieurs troubles distincts : schizophrénie, trouble bipolaire, dépression sévère, certaines maladies neurologiques ou encore en lien avec des substances psychoactives.</w:t>
      </w:r>
    </w:p>
    <w:p>
      <w:pPr>
        <w:spacing w:after="60" w:before="60"/>
      </w:pPr>
      <w:r>
        <w:rPr>
          <w:rFonts w:ascii="Times New Roman" w:cs="Times New Roman" w:eastAsia="Times New Roman" w:hAnsi="Times New Roman"/>
          <w:color w:val="1F2937"/>
          <w:sz w:val="22"/>
          <w:szCs w:val="22"/>
        </w:rPr>
        <w:t xml:space="preserve">La psychose se caractérise par quatre grandes dimensions symptomatiques :</w:t>
      </w:r>
    </w:p>
    <w:p>
      <w:pPr>
        <w:spacing w:after="120" w:before="120"/>
      </w:pPr>
      <w:r>
        <w:t xml:space="preserve"/>
      </w:r>
    </w:p>
    <w:p>
      <w:pPr>
        <w:pStyle w:val="Heading3"/>
        <w:spacing w:after="80" w:before="200"/>
      </w:pPr>
      <w:r>
        <w:rPr>
          <w:rFonts w:ascii="Times New Roman" w:cs="Times New Roman" w:eastAsia="Times New Roman" w:hAnsi="Times New Roman"/>
          <w:b/>
          <w:bCs/>
          <w:color w:val="1F2937"/>
          <w:sz w:val="26"/>
          <w:szCs w:val="26"/>
        </w:rPr>
        <w:t xml:space="preserve">2. Les quatre dimensions symptomatiques</w:t>
      </w:r>
    </w:p>
    <w:p>
      <w:pPr>
        <w:spacing w:after="60" w:before="60"/>
      </w:pPr>
      <w:r>
        <w:rPr>
          <w:rFonts w:ascii="Times New Roman" w:cs="Times New Roman" w:eastAsia="Times New Roman" w:hAnsi="Times New Roman"/>
          <w:b/>
          <w:bCs/>
          <w:color w:val="1F2937"/>
          <w:sz w:val="22"/>
          <w:szCs w:val="22"/>
        </w:rPr>
        <w:t xml:space="preserve">A. Symptômes positifs (ajout d'expériences anormales)</w:t>
      </w:r>
    </w:p>
    <w:p>
      <w:pPr>
        <w:pStyle w:val="ListParagraph"/>
        <w:numPr>
          <w:ilvl w:val="0"/>
          <w:numId w:val="1"/>
        </w:numPr>
        <w:spacing w:after="40" w:before="40"/>
      </w:pPr>
      <w:r>
        <w:rPr>
          <w:rFonts w:ascii="Times New Roman" w:cs="Times New Roman" w:eastAsia="Times New Roman" w:hAnsi="Times New Roman"/>
          <w:color w:val="1F2937"/>
          <w:sz w:val="22"/>
          <w:szCs w:val="22"/>
        </w:rPr>
        <w:t xml:space="preserve">Hallucinations : perceptions sans stimulus externe réel. Des hallucinations, TOUTES MODALITÉS CONFONDUES, surviennent à un moment de la vie chez environ 80 % des personnes concernées, et elles portent le plus souvent sur l'audition — entendre des voix (Wikipedia EN, Schizophrenia : « Hallucinations occur at some point in the lifetimes of 80% of those with schizophrenia […] and most commonly involve the sense of hearing »). ⚠️ Corrigé le 06/09/2026 : la leçon rattachait ces 80 % aux seules hallucinations AUDITIVES. Le pourcentage porte sur l'ensemble des hallucinations ; l'auditif en est la modalité la plus fréquente, ce qui n'est pas la même affirmation.</w:t>
      </w:r>
    </w:p>
    <w:p>
      <w:pPr>
        <w:pStyle w:val="ListParagraph"/>
        <w:numPr>
          <w:ilvl w:val="0"/>
          <w:numId w:val="1"/>
        </w:numPr>
        <w:spacing w:after="40" w:before="40"/>
      </w:pPr>
      <w:r>
        <w:rPr>
          <w:rFonts w:ascii="Times New Roman" w:cs="Times New Roman" w:eastAsia="Times New Roman" w:hAnsi="Times New Roman"/>
          <w:color w:val="1F2937"/>
          <w:sz w:val="22"/>
          <w:szCs w:val="22"/>
        </w:rPr>
        <w:t xml:space="preserve">Idées délirantes : croyances fausses et fixes, résistantes à l'argumentation (persécution, référence, grandiosité, influence externe).</w:t>
      </w:r>
    </w:p>
    <w:p>
      <w:pPr>
        <w:pStyle w:val="ListParagraph"/>
        <w:numPr>
          <w:ilvl w:val="0"/>
          <w:numId w:val="1"/>
        </w:numPr>
        <w:spacing w:after="40" w:before="40"/>
      </w:pPr>
      <w:r>
        <w:rPr>
          <w:rFonts w:ascii="Times New Roman" w:cs="Times New Roman" w:eastAsia="Times New Roman" w:hAnsi="Times New Roman"/>
          <w:color w:val="1F2937"/>
          <w:sz w:val="22"/>
          <w:szCs w:val="22"/>
        </w:rPr>
        <w:t xml:space="preserve">Discours et pensée désorganisés : coq-à-l'âne, associations d'idées incohérentes.</w:t>
      </w:r>
    </w:p>
    <w:p>
      <w:pPr>
        <w:spacing w:after="120" w:before="120"/>
      </w:pPr>
      <w:r>
        <w:t xml:space="preserve"/>
      </w:r>
    </w:p>
    <w:p>
      <w:pPr>
        <w:spacing w:after="60" w:before="60"/>
      </w:pPr>
      <w:r>
        <w:rPr>
          <w:rFonts w:ascii="Times New Roman" w:cs="Times New Roman" w:eastAsia="Times New Roman" w:hAnsi="Times New Roman"/>
          <w:b/>
          <w:bCs/>
          <w:color w:val="1F2937"/>
          <w:sz w:val="22"/>
          <w:szCs w:val="22"/>
        </w:rPr>
        <w:t xml:space="preserve">B. Symptômes négatifs (réduction des fonctions normales)</w:t>
      </w:r>
    </w:p>
    <w:p>
      <w:pPr>
        <w:spacing w:after="60" w:before="60"/>
      </w:pPr>
      <w:r>
        <w:rPr>
          <w:rFonts w:ascii="Times New Roman" w:cs="Times New Roman" w:eastAsia="Times New Roman" w:hAnsi="Times New Roman"/>
          <w:color w:val="1F2937"/>
          <w:sz w:val="22"/>
          <w:szCs w:val="22"/>
        </w:rPr>
        <w:t xml:space="preserve">Ces symptômes correspondent à une diminution ou une disparition de fonctions habituelles. Ils sont souvent moins visibles mais plus invalidants à long terme. La littérature clinique (Merck Manual, Wikipedia EN) en distingue cinq domaines :</w:t>
      </w:r>
    </w:p>
    <w:p>
      <w:pPr>
        <w:pStyle w:val="ListParagraph"/>
        <w:numPr>
          <w:ilvl w:val="0"/>
          <w:numId w:val="1"/>
        </w:numPr>
        <w:spacing w:after="40" w:before="40"/>
      </w:pPr>
      <w:r>
        <w:rPr>
          <w:rFonts w:ascii="Times New Roman" w:cs="Times New Roman" w:eastAsia="Times New Roman" w:hAnsi="Times New Roman"/>
          <w:color w:val="1F2937"/>
          <w:sz w:val="22"/>
          <w:szCs w:val="22"/>
        </w:rPr>
        <w:t xml:space="preserve">Émoussement de l'affect : réduction de l'expression émotionnelle</w:t>
      </w:r>
    </w:p>
    <w:p>
      <w:pPr>
        <w:pStyle w:val="ListParagraph"/>
        <w:numPr>
          <w:ilvl w:val="0"/>
          <w:numId w:val="1"/>
        </w:numPr>
        <w:spacing w:after="40" w:before="40"/>
      </w:pPr>
      <w:r>
        <w:rPr>
          <w:rFonts w:ascii="Times New Roman" w:cs="Times New Roman" w:eastAsia="Times New Roman" w:hAnsi="Times New Roman"/>
          <w:color w:val="1F2937"/>
          <w:sz w:val="22"/>
          <w:szCs w:val="22"/>
        </w:rPr>
        <w:t xml:space="preserve">Alogie : appauvrissement du discours spontané</w:t>
      </w:r>
    </w:p>
    <w:p>
      <w:pPr>
        <w:pStyle w:val="ListParagraph"/>
        <w:numPr>
          <w:ilvl w:val="0"/>
          <w:numId w:val="1"/>
        </w:numPr>
        <w:spacing w:after="40" w:before="40"/>
      </w:pPr>
      <w:r>
        <w:rPr>
          <w:rFonts w:ascii="Times New Roman" w:cs="Times New Roman" w:eastAsia="Times New Roman" w:hAnsi="Times New Roman"/>
          <w:color w:val="1F2937"/>
          <w:sz w:val="22"/>
          <w:szCs w:val="22"/>
        </w:rPr>
        <w:t xml:space="preserve">Anhédonie : incapacité à ressentir du plaisir</w:t>
      </w:r>
    </w:p>
    <w:p>
      <w:pPr>
        <w:pStyle w:val="ListParagraph"/>
        <w:numPr>
          <w:ilvl w:val="0"/>
          <w:numId w:val="1"/>
        </w:numPr>
        <w:spacing w:after="40" w:before="40"/>
      </w:pPr>
      <w:r>
        <w:rPr>
          <w:rFonts w:ascii="Times New Roman" w:cs="Times New Roman" w:eastAsia="Times New Roman" w:hAnsi="Times New Roman"/>
          <w:color w:val="1F2937"/>
          <w:sz w:val="22"/>
          <w:szCs w:val="22"/>
        </w:rPr>
        <w:t xml:space="preserve">Asociabilité : manque d'intérêt pour les relations sociales</w:t>
      </w:r>
    </w:p>
    <w:p>
      <w:pPr>
        <w:pStyle w:val="ListParagraph"/>
        <w:numPr>
          <w:ilvl w:val="0"/>
          <w:numId w:val="1"/>
        </w:numPr>
        <w:spacing w:after="40" w:before="40"/>
      </w:pPr>
      <w:r>
        <w:rPr>
          <w:rFonts w:ascii="Times New Roman" w:cs="Times New Roman" w:eastAsia="Times New Roman" w:hAnsi="Times New Roman"/>
          <w:color w:val="1F2937"/>
          <w:sz w:val="22"/>
          <w:szCs w:val="22"/>
        </w:rPr>
        <w:t xml:space="preserve">Aboulie / avolition : manque de motivation et d'initiative</w:t>
      </w:r>
    </w:p>
    <w:p>
      <w:pPr>
        <w:spacing w:after="120" w:before="120"/>
      </w:pPr>
      <w:r>
        <w:t xml:space="preserve"/>
      </w:r>
    </w:p>
    <w:p>
      <w:pPr>
        <w:spacing w:after="60" w:before="60"/>
      </w:pPr>
      <w:r>
        <w:rPr>
          <w:rFonts w:ascii="Times New Roman" w:cs="Times New Roman" w:eastAsia="Times New Roman" w:hAnsi="Times New Roman"/>
          <w:b/>
          <w:bCs/>
          <w:color w:val="1F2937"/>
          <w:sz w:val="22"/>
          <w:szCs w:val="22"/>
        </w:rPr>
        <w:t xml:space="preserve">C. Désorganisation</w:t>
      </w:r>
    </w:p>
    <w:p>
      <w:pPr>
        <w:pStyle w:val="ListParagraph"/>
        <w:numPr>
          <w:ilvl w:val="0"/>
          <w:numId w:val="1"/>
        </w:numPr>
        <w:spacing w:after="40" w:before="40"/>
      </w:pPr>
      <w:r>
        <w:rPr>
          <w:rFonts w:ascii="Times New Roman" w:cs="Times New Roman" w:eastAsia="Times New Roman" w:hAnsi="Times New Roman"/>
          <w:color w:val="1F2937"/>
          <w:sz w:val="22"/>
          <w:szCs w:val="22"/>
        </w:rPr>
        <w:t xml:space="preserve">Comportements désorganisés ou catatoniques</w:t>
      </w:r>
    </w:p>
    <w:p>
      <w:pPr>
        <w:pStyle w:val="ListParagraph"/>
        <w:numPr>
          <w:ilvl w:val="0"/>
          <w:numId w:val="1"/>
        </w:numPr>
        <w:spacing w:after="40" w:before="40"/>
      </w:pPr>
      <w:r>
        <w:rPr>
          <w:rFonts w:ascii="Times New Roman" w:cs="Times New Roman" w:eastAsia="Times New Roman" w:hAnsi="Times New Roman"/>
          <w:color w:val="1F2937"/>
          <w:sz w:val="22"/>
          <w:szCs w:val="22"/>
        </w:rPr>
        <w:t xml:space="preserve">Discours incohérent, coq-à-l'âne, néologismes</w:t>
      </w:r>
    </w:p>
    <w:p>
      <w:pPr>
        <w:spacing w:after="120" w:before="120"/>
      </w:pPr>
      <w:r>
        <w:t xml:space="preserve"/>
      </w:r>
    </w:p>
    <w:p>
      <w:pPr>
        <w:spacing w:after="60" w:before="60"/>
      </w:pPr>
      <w:r>
        <w:rPr>
          <w:rFonts w:ascii="Times New Roman" w:cs="Times New Roman" w:eastAsia="Times New Roman" w:hAnsi="Times New Roman"/>
          <w:b/>
          <w:bCs/>
          <w:color w:val="1F2937"/>
          <w:sz w:val="22"/>
          <w:szCs w:val="22"/>
        </w:rPr>
        <w:t xml:space="preserve">D. Symptômes cognitifs</w:t>
      </w:r>
    </w:p>
    <w:p>
      <w:pPr>
        <w:spacing w:after="60" w:before="60"/>
      </w:pPr>
      <w:r>
        <w:rPr>
          <w:rFonts w:ascii="Times New Roman" w:cs="Times New Roman" w:eastAsia="Times New Roman" w:hAnsi="Times New Roman"/>
          <w:color w:val="1F2937"/>
          <w:sz w:val="22"/>
          <w:szCs w:val="22"/>
        </w:rPr>
        <w:t xml:space="preserve">Environ 70 % des personnes diagnostiquées avec une schizophrénie présentent des déficits cognitifs affectant l'attention, la vitesse de traitement, la mémoire de travail et les fonctions exécutives (synthèse d'après Wikipedia EN, Schizophrenia). Ces déficits précèdent souvent l'apparition des premiers symptômes et persistent tout au long de l'évolution.</w:t>
      </w:r>
    </w:p>
    <w:p>
      <w:pPr>
        <w:spacing w:after="120" w:before="120"/>
      </w:pPr>
      <w:r>
        <w:t xml:space="preserve"/>
      </w:r>
    </w:p>
    <w:p>
      <w:pPr>
        <w:pStyle w:val="Heading3"/>
        <w:spacing w:after="80" w:before="200"/>
      </w:pPr>
      <w:r>
        <w:rPr>
          <w:rFonts w:ascii="Times New Roman" w:cs="Times New Roman" w:eastAsia="Times New Roman" w:hAnsi="Times New Roman"/>
          <w:b/>
          <w:bCs/>
          <w:color w:val="1F2937"/>
          <w:sz w:val="26"/>
          <w:szCs w:val="26"/>
        </w:rPr>
        <w:t xml:space="preserve">3. La schizophrénie : définition et critères</w:t>
      </w:r>
    </w:p>
    <w:p>
      <w:pPr>
        <w:spacing w:after="60" w:before="60"/>
      </w:pPr>
      <w:r>
        <w:rPr>
          <w:rFonts w:ascii="Times New Roman" w:cs="Times New Roman" w:eastAsia="Times New Roman" w:hAnsi="Times New Roman"/>
          <w:color w:val="1F2937"/>
          <w:sz w:val="22"/>
          <w:szCs w:val="22"/>
        </w:rPr>
        <w:t xml:space="preserve">La schizophrénie est définie par Wikipedia FR comme « un spectre de troubles mentaux plus ou moins sévères, chroniques, dans le groupe des troubles psychotiques ». Psycom.org souligne à juste titre qu'il n'y a pas une schizophrénie mais des troubles schizophréniques, et corrige le contresens classique entre schizophrénie et dédoublement de personnalité — ces deux conditions sont distinctes.</w:t>
      </w:r>
    </w:p>
    <w:p>
      <w:pPr>
        <w:spacing w:after="120" w:before="120"/>
      </w:pPr>
      <w:r>
        <w:t xml:space="preserve"/>
      </w:r>
    </w:p>
    <w:p>
      <w:pPr>
        <w:spacing w:after="60" w:before="60"/>
      </w:pPr>
      <w:r>
        <w:rPr>
          <w:rFonts w:ascii="Times New Roman" w:cs="Times New Roman" w:eastAsia="Times New Roman" w:hAnsi="Times New Roman"/>
          <w:b/>
          <w:bCs/>
          <w:color w:val="1F2937"/>
          <w:sz w:val="22"/>
          <w:szCs w:val="22"/>
        </w:rPr>
        <w:t xml:space="preserve">Critères DSM-5-TR (d'après Merck Manual Professional, consulté le 27/07/2026) :</w:t>
      </w:r>
    </w:p>
    <w:p>
      <w:pPr>
        <w:pStyle w:val="ListParagraph"/>
        <w:numPr>
          <w:ilvl w:val="0"/>
          <w:numId w:val="1"/>
        </w:numPr>
        <w:spacing w:after="40" w:before="40"/>
      </w:pPr>
      <w:r>
        <w:rPr>
          <w:rFonts w:ascii="Times New Roman" w:cs="Times New Roman" w:eastAsia="Times New Roman" w:hAnsi="Times New Roman"/>
          <w:color w:val="1F2937"/>
          <w:sz w:val="22"/>
          <w:szCs w:val="22"/>
        </w:rPr>
        <w:t xml:space="preserve">≥ 2 symptômes caractéristiques (délires, hallucinations, discours désorganisé, comportement désorganisé, symptômes négatifs) pendant au moins 1 mois</w:t>
      </w:r>
    </w:p>
    <w:p>
      <w:pPr>
        <w:pStyle w:val="ListParagraph"/>
        <w:numPr>
          <w:ilvl w:val="0"/>
          <w:numId w:val="1"/>
        </w:numPr>
        <w:spacing w:after="40" w:before="40"/>
      </w:pPr>
      <w:r>
        <w:rPr>
          <w:rFonts w:ascii="Times New Roman" w:cs="Times New Roman" w:eastAsia="Times New Roman" w:hAnsi="Times New Roman"/>
          <w:color w:val="1F2937"/>
          <w:sz w:val="22"/>
          <w:szCs w:val="22"/>
        </w:rPr>
        <w:t xml:space="preserve">Au moins l'un de ces symptômes doit être : délires, hallucinations, ou discours désorganisé</w:t>
      </w:r>
    </w:p>
    <w:p>
      <w:pPr>
        <w:pStyle w:val="ListParagraph"/>
        <w:numPr>
          <w:ilvl w:val="0"/>
          <w:numId w:val="1"/>
        </w:numPr>
        <w:spacing w:after="40" w:before="40"/>
      </w:pPr>
      <w:r>
        <w:rPr>
          <w:rFonts w:ascii="Times New Roman" w:cs="Times New Roman" w:eastAsia="Times New Roman" w:hAnsi="Times New Roman"/>
          <w:color w:val="1F2937"/>
          <w:sz w:val="22"/>
          <w:szCs w:val="22"/>
        </w:rPr>
        <w:t xml:space="preserve">Déclin du fonctionnement (soins personnels, social, professionnel)</w:t>
      </w:r>
    </w:p>
    <w:p>
      <w:pPr>
        <w:pStyle w:val="ListParagraph"/>
        <w:numPr>
          <w:ilvl w:val="0"/>
          <w:numId w:val="1"/>
        </w:numPr>
        <w:spacing w:after="40" w:before="40"/>
      </w:pPr>
      <w:r>
        <w:rPr>
          <w:rFonts w:ascii="Times New Roman" w:cs="Times New Roman" w:eastAsia="Times New Roman" w:hAnsi="Times New Roman"/>
          <w:color w:val="1F2937"/>
          <w:sz w:val="22"/>
          <w:szCs w:val="22"/>
        </w:rPr>
        <w:t xml:space="preserve">Signes continus de la maladie pendant ≥ 6 mois</w:t>
      </w:r>
    </w:p>
    <w:p>
      <w:pPr>
        <w:spacing w:after="120" w:before="120"/>
      </w:pPr>
      <w:r>
        <w:t xml:space="preserve"/>
      </w:r>
    </w:p>
    <w:p>
      <w:pPr>
        <w:spacing w:after="60" w:before="60"/>
      </w:pPr>
      <w:r>
        <w:rPr>
          <w:rFonts w:ascii="Times New Roman" w:cs="Times New Roman" w:eastAsia="Times New Roman" w:hAnsi="Times New Roman"/>
          <w:b/>
          <w:bCs/>
          <w:color w:val="1F2937"/>
          <w:sz w:val="22"/>
          <w:szCs w:val="22"/>
        </w:rPr>
        <w:t xml:space="preserve">Épidémiologie (sources récupérées le 27/07/2026) :</w:t>
      </w:r>
    </w:p>
    <w:p>
      <w:pPr>
        <w:pStyle w:val="ListParagraph"/>
        <w:numPr>
          <w:ilvl w:val="0"/>
          <w:numId w:val="1"/>
        </w:numPr>
        <w:spacing w:after="40" w:before="40"/>
      </w:pPr>
      <w:r>
        <w:rPr>
          <w:rFonts w:ascii="Times New Roman" w:cs="Times New Roman" w:eastAsia="Times New Roman" w:hAnsi="Times New Roman"/>
          <w:color w:val="1F2937"/>
          <w:sz w:val="22"/>
          <w:szCs w:val="22"/>
        </w:rPr>
        <w:t xml:space="preserve">OMS (2025), cité par la HAS dans sa Note de cadrage validée le 8 avril 2026 : les troubles schizophréniques « toucheraient environ 23 millions de personnes dans le monde, soit un adulte sur 233 (0,43 %) ». ⚠️ Citation rétablie le 06/09/2026 : la leçon écrivait « mondialement » là où la source écrit « dans le monde », et rendait à l'affirmatif le conditionnel « toucheraient ». Il s'agit d'un nombre de personnes actuellement touchées, non d'une prévalence sur la vie entière — voir la note ci-dessous.</w:t>
      </w:r>
    </w:p>
    <w:p>
      <w:pPr>
        <w:pStyle w:val="ListParagraph"/>
        <w:numPr>
          <w:ilvl w:val="0"/>
          <w:numId w:val="1"/>
        </w:numPr>
        <w:spacing w:after="40" w:before="40"/>
      </w:pPr>
      <w:r>
        <w:rPr>
          <w:rFonts w:ascii="Times New Roman" w:cs="Times New Roman" w:eastAsia="Times New Roman" w:hAnsi="Times New Roman"/>
          <w:color w:val="1F2937"/>
          <w:sz w:val="22"/>
          <w:szCs w:val="22"/>
        </w:rPr>
        <w:t xml:space="preserve">Merck Manual Professional (version française, celle qui est citée en ressources) : « Dans le monde, la prévalence à vie de la schizophrénie est d'environ 0,7% ». ⚠️ Corrigé le 06/09/2026 : la leçon citait une phrase EN ANGLAIS attribuée à une page consultée en français. Le chiffre était exact, la citation ne figurait pas sur la page citée. Noter que cette valeur est une prévalence À VIE.</w:t>
      </w:r>
    </w:p>
    <w:p>
      <w:pPr>
        <w:pStyle w:val="ListParagraph"/>
        <w:numPr>
          <w:ilvl w:val="0"/>
          <w:numId w:val="1"/>
        </w:numPr>
        <w:spacing w:after="40" w:before="40"/>
      </w:pPr>
      <w:r>
        <w:rPr>
          <w:rFonts w:ascii="Times New Roman" w:cs="Times New Roman" w:eastAsia="Times New Roman" w:hAnsi="Times New Roman"/>
          <w:color w:val="1F2937"/>
          <w:sz w:val="22"/>
          <w:szCs w:val="22"/>
        </w:rPr>
        <w:t xml:space="preserve">Wikipedia FR : « près de 0,3 % à 0,72 % de la population, à un moment donné de la vie » — donc, là aussi, une prévalence sur la vie entière.</w:t>
      </w:r>
    </w:p>
    <w:p>
      <w:pPr>
        <w:shd w:fill="FFF4E5" w:color="auto" w:val="clear"/>
        <w:spacing w:after="80" w:before="80"/>
        <w:ind w:left="288" w:right="288"/>
      </w:pPr>
      <w:r>
        <w:rPr>
          <w:rFonts w:ascii="Times New Roman" w:cs="Times New Roman" w:eastAsia="Times New Roman" w:hAnsi="Times New Roman"/>
          <w:i/>
          <w:iCs/>
          <w:color w:val="92400E"/>
          <w:sz w:val="22"/>
          <w:szCs w:val="22"/>
        </w:rPr>
        <w:t xml:space="preserve">⚠️ CES TROIS CHIFFRES NE MESURENT PAS LA MÊME CHOSE (note ajoutée le 06/09/2026). Le 0,43 % de l’OMS est un effectif de personnes actuellement touchées rapporté à la population adulte ; le 0,7 % du Merck Manual et la fourchette 0,3–0,72 % de Wikipédia sont des prévalences SUR LA VIE ENTIÈRE, ce que les deux sources écrivent explicitement. Ils ne sont donc pas trois estimations concurrentes d’une même grandeur, et l’écart entre 0,43 % et 0,7 % ne traduit pas un désaccord entre sources. La leçon les alignait comme s’ils étaient comparables.</w:t>
      </w:r>
    </w:p>
    <w:p>
      <w:pPr>
        <w:pStyle w:val="ListParagraph"/>
        <w:numPr>
          <w:ilvl w:val="0"/>
          <w:numId w:val="1"/>
        </w:numPr>
        <w:spacing w:after="40" w:before="40"/>
      </w:pPr>
      <w:r>
        <w:rPr>
          <w:rFonts w:ascii="Times New Roman" w:cs="Times New Roman" w:eastAsia="Times New Roman" w:hAnsi="Times New Roman"/>
          <w:color w:val="1F2937"/>
          <w:sz w:val="22"/>
          <w:szCs w:val="22"/>
        </w:rPr>
        <w:t xml:space="preserve">Âge de début : généralement entre la fin de l'adolescence et le début de l'âge adulte (16-30 ans) ; début plus précoce chez les hommes que chez les femmes (Wikipedia EN, Schizophrenia)</w:t>
      </w:r>
    </w:p>
    <w:p>
      <w:pPr>
        <w:spacing w:after="120" w:before="120"/>
      </w:pPr>
      <w:r>
        <w:t xml:space="preserve"/>
      </w:r>
    </w:p>
    <w:p>
      <w:pPr>
        <w:shd w:fill="FFF4E5" w:color="auto" w:val="clear"/>
        <w:spacing w:after="100" w:before="100"/>
        <w:ind w:left="360"/>
      </w:pPr>
      <w:r>
        <w:rPr>
          <w:rFonts w:ascii="Times New Roman" w:cs="Times New Roman" w:eastAsia="Times New Roman" w:hAnsi="Times New Roman"/>
          <w:color w:val="1F2937"/>
          <w:sz w:val="22"/>
          <w:szCs w:val="22"/>
        </w:rPr>
        <w:t xml:space="preserve">⚠️ Point de vigilance (HAS, Note de cadrage, avril 2026) : en France, « la durée de psychose non traitée est encore de 18 mois à 2 ans ». Ce délai diagnostique allongé aggrave le pronostic. Il implique que des professionnels du médico-social peuvent être en contact avec une personne en phase prodromique ou en phase active avant toute prise en charge psychiatrique.</w:t>
      </w:r>
    </w:p>
    <w:p>
      <w:pPr>
        <w:spacing w:after="120" w:before="120"/>
      </w:pPr>
      <w:r>
        <w:t xml:space="preserve"/>
      </w:r>
    </w:p>
    <w:p>
      <w:pPr>
        <w:pStyle w:val="Heading3"/>
        <w:spacing w:after="80" w:before="200"/>
      </w:pPr>
      <w:r>
        <w:rPr>
          <w:rFonts w:ascii="Times New Roman" w:cs="Times New Roman" w:eastAsia="Times New Roman" w:hAnsi="Times New Roman"/>
          <w:b/>
          <w:bCs/>
          <w:color w:val="1F2937"/>
          <w:sz w:val="26"/>
          <w:szCs w:val="26"/>
        </w:rPr>
        <w:t xml:space="preserve">4. Les troubles apparentés du spectre psychotique</w:t>
      </w:r>
    </w:p>
    <w:p>
      <w:pPr>
        <w:spacing w:after="60" w:before="60"/>
      </w:pPr>
      <w:r>
        <w:rPr>
          <w:rFonts w:ascii="Times New Roman" w:cs="Times New Roman" w:eastAsia="Times New Roman" w:hAnsi="Times New Roman"/>
          <w:color w:val="1F2937"/>
          <w:sz w:val="22"/>
          <w:szCs w:val="22"/>
        </w:rPr>
        <w:t xml:space="preserve">La schizophrénie s'inscrit dans un continuum. Plusieurs troubles partagent des symptômes psychotiques sans remplir tous les critères d'une schizophrénie :</w:t>
      </w:r>
    </w:p>
    <w:p>
      <w:pPr>
        <w:spacing w:after="120" w:before="120"/>
      </w:pPr>
      <w: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2500"/>
            <w:shd w:fill="1B3A6B" w:color="auto" w:val="clear"/>
          </w:tcPr>
          <w:p>
            <w:pPr>
              <w:jc w:val="center"/>
            </w:pPr>
            <w:r>
              <w:rPr>
                <w:rFonts w:ascii="Times New Roman" w:cs="Times New Roman" w:eastAsia="Times New Roman" w:hAnsi="Times New Roman"/>
                <w:b/>
                <w:bCs/>
                <w:color w:val="FFFFFF"/>
                <w:sz w:val="20"/>
                <w:szCs w:val="20"/>
              </w:rPr>
              <w:t xml:space="preserve">Trouble</w:t>
            </w:r>
          </w:p>
        </w:tc>
        <w:tc>
          <w:tcPr>
            <w:tcW w:type="dxa" w:w="2500"/>
            <w:shd w:fill="1B3A6B" w:color="auto" w:val="clear"/>
          </w:tcPr>
          <w:p>
            <w:pPr>
              <w:jc w:val="center"/>
            </w:pPr>
            <w:r>
              <w:rPr>
                <w:rFonts w:ascii="Times New Roman" w:cs="Times New Roman" w:eastAsia="Times New Roman" w:hAnsi="Times New Roman"/>
                <w:b/>
                <w:bCs/>
                <w:color w:val="FFFFFF"/>
                <w:sz w:val="20"/>
                <w:szCs w:val="20"/>
              </w:rPr>
              <w:t xml:space="preserve">Durée minimale</w:t>
            </w:r>
          </w:p>
        </w:tc>
        <w:tc>
          <w:tcPr>
            <w:tcW w:type="dxa" w:w="2500"/>
            <w:shd w:fill="1B3A6B" w:color="auto" w:val="clear"/>
          </w:tcPr>
          <w:p>
            <w:pPr>
              <w:jc w:val="center"/>
            </w:pPr>
            <w:r>
              <w:rPr>
                <w:rFonts w:ascii="Times New Roman" w:cs="Times New Roman" w:eastAsia="Times New Roman" w:hAnsi="Times New Roman"/>
                <w:b/>
                <w:bCs/>
                <w:color w:val="FFFFFF"/>
                <w:sz w:val="20"/>
                <w:szCs w:val="20"/>
              </w:rPr>
              <w:t xml:space="preserve">Symptômes dominants</w:t>
            </w:r>
          </w:p>
        </w:tc>
        <w:tc>
          <w:tcPr>
            <w:tcW w:type="dxa" w:w="2500"/>
            <w:shd w:fill="1B3A6B" w:color="auto" w:val="clear"/>
          </w:tcPr>
          <w:p>
            <w:pPr>
              <w:jc w:val="center"/>
            </w:pPr>
            <w:r>
              <w:rPr>
                <w:rFonts w:ascii="Times New Roman" w:cs="Times New Roman" w:eastAsia="Times New Roman" w:hAnsi="Times New Roman"/>
                <w:b/>
                <w:bCs/>
                <w:color w:val="FFFFFF"/>
                <w:sz w:val="20"/>
                <w:szCs w:val="20"/>
              </w:rPr>
              <w:t xml:space="preserve">Point clé</w:t>
            </w:r>
          </w:p>
        </w:tc>
      </w:tr>
      <w:tr>
        <w:tc>
          <w:tcPr>
            <w:tcW w:type="dxa" w:w="2500"/>
            <w:shd w:fill="FFFFFF" w:color="auto" w:val="clear"/>
          </w:tcPr>
          <w:p>
            <w:r>
              <w:rPr>
                <w:rFonts w:ascii="Times New Roman" w:cs="Times New Roman" w:eastAsia="Times New Roman" w:hAnsi="Times New Roman"/>
                <w:color w:val="1F2937"/>
                <w:sz w:val="20"/>
                <w:szCs w:val="20"/>
              </w:rPr>
              <w:t xml:space="preserve">Schizophrénie</w:t>
            </w:r>
          </w:p>
        </w:tc>
        <w:tc>
          <w:tcPr>
            <w:tcW w:type="dxa" w:w="2500"/>
            <w:shd w:fill="FFFFFF" w:color="auto" w:val="clear"/>
          </w:tcPr>
          <w:p>
            <w:r>
              <w:rPr>
                <w:rFonts w:ascii="Times New Roman" w:cs="Times New Roman" w:eastAsia="Times New Roman" w:hAnsi="Times New Roman"/>
                <w:color w:val="1F2937"/>
                <w:sz w:val="20"/>
                <w:szCs w:val="20"/>
              </w:rPr>
              <w:t xml:space="preserve">≥ 6 mois (dont ≥ 1 mois de phase active)</w:t>
            </w:r>
          </w:p>
        </w:tc>
        <w:tc>
          <w:tcPr>
            <w:tcW w:type="dxa" w:w="2500"/>
            <w:shd w:fill="FFFFFF" w:color="auto" w:val="clear"/>
          </w:tcPr>
          <w:p>
            <w:r>
              <w:rPr>
                <w:rFonts w:ascii="Times New Roman" w:cs="Times New Roman" w:eastAsia="Times New Roman" w:hAnsi="Times New Roman"/>
                <w:color w:val="1F2937"/>
                <w:sz w:val="20"/>
                <w:szCs w:val="20"/>
              </w:rPr>
              <w:t xml:space="preserve">Positifs + négatifs + cognitifs</w:t>
            </w:r>
          </w:p>
        </w:tc>
        <w:tc>
          <w:tcPr>
            <w:tcW w:type="dxa" w:w="2500"/>
            <w:shd w:fill="FFFFFF" w:color="auto" w:val="clear"/>
          </w:tcPr>
          <w:p>
            <w:r>
              <w:rPr>
                <w:rFonts w:ascii="Times New Roman" w:cs="Times New Roman" w:eastAsia="Times New Roman" w:hAnsi="Times New Roman"/>
                <w:color w:val="1F2937"/>
                <w:sz w:val="20"/>
                <w:szCs w:val="20"/>
              </w:rPr>
              <w:t xml:space="preserve">Déclin fonctionnel durable</w:t>
            </w:r>
          </w:p>
        </w:tc>
      </w:tr>
      <w:tr>
        <w:tc>
          <w:tcPr>
            <w:tcW w:type="dxa" w:w="2500"/>
            <w:shd w:fill="EEF2F7" w:color="auto" w:val="clear"/>
          </w:tcPr>
          <w:p>
            <w:r>
              <w:rPr>
                <w:rFonts w:ascii="Times New Roman" w:cs="Times New Roman" w:eastAsia="Times New Roman" w:hAnsi="Times New Roman"/>
                <w:color w:val="1F2937"/>
                <w:sz w:val="20"/>
                <w:szCs w:val="20"/>
              </w:rPr>
              <w:t xml:space="preserve">Trouble schizophréniforme</w:t>
            </w:r>
          </w:p>
        </w:tc>
        <w:tc>
          <w:tcPr>
            <w:tcW w:type="dxa" w:w="2500"/>
            <w:shd w:fill="EEF2F7" w:color="auto" w:val="clear"/>
          </w:tcPr>
          <w:p>
            <w:r>
              <w:rPr>
                <w:rFonts w:ascii="Times New Roman" w:cs="Times New Roman" w:eastAsia="Times New Roman" w:hAnsi="Times New Roman"/>
                <w:color w:val="1F2937"/>
                <w:sz w:val="20"/>
                <w:szCs w:val="20"/>
              </w:rPr>
              <w:t xml:space="preserve">1 à 6 mois</w:t>
            </w:r>
          </w:p>
        </w:tc>
        <w:tc>
          <w:tcPr>
            <w:tcW w:type="dxa" w:w="2500"/>
            <w:shd w:fill="EEF2F7" w:color="auto" w:val="clear"/>
          </w:tcPr>
          <w:p>
            <w:r>
              <w:rPr>
                <w:rFonts w:ascii="Times New Roman" w:cs="Times New Roman" w:eastAsia="Times New Roman" w:hAnsi="Times New Roman"/>
                <w:color w:val="1F2937"/>
                <w:sz w:val="20"/>
                <w:szCs w:val="20"/>
              </w:rPr>
              <w:t xml:space="preserve">Identiques à la schizophrénie</w:t>
            </w:r>
          </w:p>
        </w:tc>
        <w:tc>
          <w:tcPr>
            <w:tcW w:type="dxa" w:w="2500"/>
            <w:shd w:fill="EEF2F7" w:color="auto" w:val="clear"/>
          </w:tcPr>
          <w:p>
            <w:r>
              <w:rPr>
                <w:rFonts w:ascii="Times New Roman" w:cs="Times New Roman" w:eastAsia="Times New Roman" w:hAnsi="Times New Roman"/>
                <w:color w:val="1F2937"/>
                <w:sz w:val="20"/>
                <w:szCs w:val="20"/>
              </w:rPr>
              <w:t xml:space="preserve">Durée insuffisante pour diagnostic de schizophrénie</w:t>
            </w:r>
          </w:p>
        </w:tc>
      </w:tr>
      <w:tr>
        <w:tc>
          <w:tcPr>
            <w:tcW w:type="dxa" w:w="2500"/>
            <w:shd w:fill="FFFFFF" w:color="auto" w:val="clear"/>
          </w:tcPr>
          <w:p>
            <w:r>
              <w:rPr>
                <w:rFonts w:ascii="Times New Roman" w:cs="Times New Roman" w:eastAsia="Times New Roman" w:hAnsi="Times New Roman"/>
                <w:color w:val="1F2937"/>
                <w:sz w:val="20"/>
                <w:szCs w:val="20"/>
              </w:rPr>
              <w:t xml:space="preserve">Trouble psychotique bref</w:t>
            </w:r>
          </w:p>
        </w:tc>
        <w:tc>
          <w:tcPr>
            <w:tcW w:type="dxa" w:w="2500"/>
            <w:shd w:fill="FFFFFF" w:color="auto" w:val="clear"/>
          </w:tcPr>
          <w:p>
            <w:r>
              <w:rPr>
                <w:rFonts w:ascii="Times New Roman" w:cs="Times New Roman" w:eastAsia="Times New Roman" w:hAnsi="Times New Roman"/>
                <w:color w:val="1F2937"/>
                <w:sz w:val="20"/>
                <w:szCs w:val="20"/>
              </w:rPr>
              <w:t xml:space="preserve">&lt; 1 mois, puis retour à l'état antérieur</w:t>
            </w:r>
          </w:p>
        </w:tc>
        <w:tc>
          <w:tcPr>
            <w:tcW w:type="dxa" w:w="2500"/>
            <w:shd w:fill="FFFFFF" w:color="auto" w:val="clear"/>
          </w:tcPr>
          <w:p>
            <w:r>
              <w:rPr>
                <w:rFonts w:ascii="Times New Roman" w:cs="Times New Roman" w:eastAsia="Times New Roman" w:hAnsi="Times New Roman"/>
                <w:color w:val="1F2937"/>
                <w:sz w:val="20"/>
                <w:szCs w:val="20"/>
              </w:rPr>
              <w:t xml:space="preserve">Symptômes positifs soudains</w:t>
            </w:r>
          </w:p>
        </w:tc>
        <w:tc>
          <w:tcPr>
            <w:tcW w:type="dxa" w:w="2500"/>
            <w:shd w:fill="FFFFFF" w:color="auto" w:val="clear"/>
          </w:tcPr>
          <w:p>
            <w:r>
              <w:rPr>
                <w:rFonts w:ascii="Times New Roman" w:cs="Times New Roman" w:eastAsia="Times New Roman" w:hAnsi="Times New Roman"/>
                <w:color w:val="1F2937"/>
                <w:sz w:val="20"/>
                <w:szCs w:val="20"/>
              </w:rPr>
              <w:t xml:space="preserve">Souvent lié à un stress intense</w:t>
            </w:r>
          </w:p>
        </w:tc>
      </w:tr>
      <w:tr>
        <w:tc>
          <w:tcPr>
            <w:tcW w:type="dxa" w:w="2500"/>
            <w:shd w:fill="EEF2F7" w:color="auto" w:val="clear"/>
          </w:tcPr>
          <w:p>
            <w:r>
              <w:rPr>
                <w:rFonts w:ascii="Times New Roman" w:cs="Times New Roman" w:eastAsia="Times New Roman" w:hAnsi="Times New Roman"/>
                <w:color w:val="1F2937"/>
                <w:sz w:val="20"/>
                <w:szCs w:val="20"/>
              </w:rPr>
              <w:t xml:space="preserve">Trouble schizoaffectif</w:t>
            </w:r>
          </w:p>
        </w:tc>
        <w:tc>
          <w:tcPr>
            <w:tcW w:type="dxa" w:w="2500"/>
            <w:shd w:fill="EEF2F7" w:color="auto" w:val="clear"/>
          </w:tcPr>
          <w:p>
            <w:r>
              <w:rPr>
                <w:rFonts w:ascii="Times New Roman" w:cs="Times New Roman" w:eastAsia="Times New Roman" w:hAnsi="Times New Roman"/>
                <w:color w:val="1F2937"/>
                <w:sz w:val="20"/>
                <w:szCs w:val="20"/>
              </w:rPr>
              <w:t xml:space="preserve">Variable (avec épisodes thymiques)</w:t>
            </w:r>
          </w:p>
        </w:tc>
        <w:tc>
          <w:tcPr>
            <w:tcW w:type="dxa" w:w="2500"/>
            <w:shd w:fill="EEF2F7" w:color="auto" w:val="clear"/>
          </w:tcPr>
          <w:p>
            <w:r>
              <w:rPr>
                <w:rFonts w:ascii="Times New Roman" w:cs="Times New Roman" w:eastAsia="Times New Roman" w:hAnsi="Times New Roman"/>
                <w:color w:val="1F2937"/>
                <w:sz w:val="20"/>
                <w:szCs w:val="20"/>
              </w:rPr>
              <w:t xml:space="preserve">Psychose + épisode dépressif ou maniaque</w:t>
            </w:r>
          </w:p>
        </w:tc>
        <w:tc>
          <w:tcPr>
            <w:tcW w:type="dxa" w:w="2500"/>
            <w:shd w:fill="EEF2F7" w:color="auto" w:val="clear"/>
          </w:tcPr>
          <w:p>
            <w:r>
              <w:rPr>
                <w:rFonts w:ascii="Times New Roman" w:cs="Times New Roman" w:eastAsia="Times New Roman" w:hAnsi="Times New Roman"/>
                <w:color w:val="1F2937"/>
                <w:sz w:val="20"/>
                <w:szCs w:val="20"/>
              </w:rPr>
              <w:t xml:space="preserve">Combo schizophrénie + trouble de l'humeur</w:t>
            </w:r>
          </w:p>
        </w:tc>
      </w:tr>
      <w:tr>
        <w:tc>
          <w:tcPr>
            <w:tcW w:type="dxa" w:w="2500"/>
            <w:shd w:fill="FFFFFF" w:color="auto" w:val="clear"/>
          </w:tcPr>
          <w:p>
            <w:r>
              <w:rPr>
                <w:rFonts w:ascii="Times New Roman" w:cs="Times New Roman" w:eastAsia="Times New Roman" w:hAnsi="Times New Roman"/>
                <w:color w:val="1F2937"/>
                <w:sz w:val="20"/>
                <w:szCs w:val="20"/>
              </w:rPr>
              <w:t xml:space="preserve">Trouble délirant</w:t>
            </w:r>
          </w:p>
        </w:tc>
        <w:tc>
          <w:tcPr>
            <w:tcW w:type="dxa" w:w="2500"/>
            <w:shd w:fill="FFFFFF" w:color="auto" w:val="clear"/>
          </w:tcPr>
          <w:p>
            <w:r>
              <w:rPr>
                <w:rFonts w:ascii="Times New Roman" w:cs="Times New Roman" w:eastAsia="Times New Roman" w:hAnsi="Times New Roman"/>
                <w:color w:val="1F2937"/>
                <w:sz w:val="20"/>
                <w:szCs w:val="20"/>
              </w:rPr>
              <w:t xml:space="preserve">≥ 1 mois</w:t>
            </w:r>
          </w:p>
        </w:tc>
        <w:tc>
          <w:tcPr>
            <w:tcW w:type="dxa" w:w="2500"/>
            <w:shd w:fill="FFFFFF" w:color="auto" w:val="clear"/>
          </w:tcPr>
          <w:p>
            <w:r>
              <w:rPr>
                <w:rFonts w:ascii="Times New Roman" w:cs="Times New Roman" w:eastAsia="Times New Roman" w:hAnsi="Times New Roman"/>
                <w:color w:val="1F2937"/>
                <w:sz w:val="20"/>
                <w:szCs w:val="20"/>
              </w:rPr>
              <w:t xml:space="preserve">Délires non bizarres, sans hallucinations marquées</w:t>
            </w:r>
          </w:p>
        </w:tc>
        <w:tc>
          <w:tcPr>
            <w:tcW w:type="dxa" w:w="2500"/>
            <w:shd w:fill="FFFFFF" w:color="auto" w:val="clear"/>
          </w:tcPr>
          <w:p>
            <w:r>
              <w:rPr>
                <w:rFonts w:ascii="Times New Roman" w:cs="Times New Roman" w:eastAsia="Times New Roman" w:hAnsi="Times New Roman"/>
                <w:color w:val="1F2937"/>
                <w:sz w:val="20"/>
                <w:szCs w:val="20"/>
              </w:rPr>
              <w:t xml:space="preserve">Fonctionnement souvent préservé hors des délires</w:t>
            </w:r>
          </w:p>
        </w:tc>
      </w:tr>
    </w:tbl>
    <w:p>
      <w:pPr>
        <w:spacing w:after="120" w:before="120"/>
      </w:pPr>
      <w:r>
        <w:t xml:space="preserve"/>
      </w:r>
    </w:p>
    <w:p>
      <w:pPr>
        <w:pStyle w:val="Heading3"/>
        <w:spacing w:after="80" w:before="200"/>
      </w:pPr>
      <w:r>
        <w:rPr>
          <w:rFonts w:ascii="Times New Roman" w:cs="Times New Roman" w:eastAsia="Times New Roman" w:hAnsi="Times New Roman"/>
          <w:b/>
          <w:bCs/>
          <w:color w:val="1F2937"/>
          <w:sz w:val="26"/>
          <w:szCs w:val="26"/>
        </w:rPr>
        <w:t xml:space="preserve">5. Pronostic et rétablissement</w:t>
      </w:r>
    </w:p>
    <w:p>
      <w:pPr>
        <w:spacing w:after="60" w:before="60"/>
      </w:pPr>
      <w:r>
        <w:rPr>
          <w:rFonts w:ascii="Times New Roman" w:cs="Times New Roman" w:eastAsia="Times New Roman" w:hAnsi="Times New Roman"/>
          <w:color w:val="1F2937"/>
          <w:sz w:val="22"/>
          <w:szCs w:val="22"/>
        </w:rPr>
        <w:t xml:space="preserve">Le pronostic est variable et non figé. Les données de Merck Manual Professional (consulté le 27/07/2026) indiquent :</w:t>
      </w:r>
    </w:p>
    <w:p>
      <w:pPr>
        <w:pStyle w:val="ListParagraph"/>
        <w:numPr>
          <w:ilvl w:val="0"/>
          <w:numId w:val="1"/>
        </w:numPr>
        <w:spacing w:after="40" w:before="40"/>
      </w:pPr>
      <w:r>
        <w:rPr>
          <w:rFonts w:ascii="Times New Roman" w:cs="Times New Roman" w:eastAsia="Times New Roman" w:hAnsi="Times New Roman"/>
          <w:color w:val="1F2937"/>
          <w:sz w:val="22"/>
          <w:szCs w:val="22"/>
        </w:rPr>
        <w:t xml:space="preserve">15 à 25 % : guérison, avec un retour complet OU QUASI COMPLET de la fonction (la leçon écrivait « récupération complète » ; le « ou quasi complet » de la source avait été supprimé — repris le 06/09/2026)</w:t>
      </w:r>
    </w:p>
    <w:p>
      <w:pPr>
        <w:pStyle w:val="ListParagraph"/>
        <w:numPr>
          <w:ilvl w:val="0"/>
          <w:numId w:val="1"/>
        </w:numPr>
        <w:spacing w:after="40" w:before="40"/>
      </w:pPr>
      <w:r>
        <w:rPr>
          <w:rFonts w:ascii="Times New Roman" w:cs="Times New Roman" w:eastAsia="Times New Roman" w:hAnsi="Times New Roman"/>
          <w:color w:val="1F2937"/>
          <w:sz w:val="22"/>
          <w:szCs w:val="22"/>
        </w:rPr>
        <w:t xml:space="preserve">Environ 33 % : amélioration avec rechutes et handicap résiduel</w:t>
      </w:r>
    </w:p>
    <w:p>
      <w:pPr>
        <w:pStyle w:val="ListParagraph"/>
        <w:numPr>
          <w:ilvl w:val="0"/>
          <w:numId w:val="1"/>
        </w:numPr>
        <w:spacing w:after="40" w:before="40"/>
      </w:pPr>
      <w:r>
        <w:rPr>
          <w:rFonts w:ascii="Times New Roman" w:cs="Times New Roman" w:eastAsia="Times New Roman" w:hAnsi="Times New Roman"/>
          <w:color w:val="1F2937"/>
          <w:sz w:val="22"/>
          <w:szCs w:val="22"/>
        </w:rPr>
        <w:t xml:space="preserve">JUSQU'À 40 % : mauvais pronostic à long terme (la leçon écrivait « Environ 40 % » ; la source écrit « Jusqu'à 40 % » — un plafond n'est pas une valeur centrale. Corrigé le 06/09/2026)</w:t>
      </w:r>
    </w:p>
    <w:p>
      <w:pPr>
        <w:pStyle w:val="ListParagraph"/>
        <w:numPr>
          <w:ilvl w:val="0"/>
          <w:numId w:val="1"/>
        </w:numPr>
        <w:spacing w:after="40" w:before="40"/>
      </w:pPr>
      <w:r>
        <w:rPr>
          <w:rFonts w:ascii="Times New Roman" w:cs="Times New Roman" w:eastAsia="Times New Roman" w:hAnsi="Times New Roman"/>
          <w:color w:val="1F2937"/>
          <w:sz w:val="22"/>
          <w:szCs w:val="22"/>
        </w:rPr>
        <w:t xml:space="preserve">Suicide : la page donne DEUX valeurs, et il faut les lire ensemble — « Environ 4 à 10 % des patients atteints de schizophrénie meurent par suicide » dans la section Risque de suicide, « Jusqu'à 10 % meurent par suicide » dans le résumé du pronostic. La leçon ne retenait que la seconde, en anglais et sans signaler la discordance interne de sa source (corrigé le 06/09/2026). Espérance de vie réduite d'environ 15 ans en moyenne.</w:t>
      </w:r>
    </w:p>
    <w:p>
      <w:pPr>
        <w:spacing w:after="120" w:before="120"/>
      </w:pPr>
      <w:r>
        <w:t xml:space="preserve"/>
      </w:r>
    </w:p>
    <w:p>
      <w:pPr>
        <w:spacing w:after="60" w:before="60"/>
      </w:pPr>
      <w:r>
        <w:rPr>
          <w:rFonts w:ascii="Times New Roman" w:cs="Times New Roman" w:eastAsia="Times New Roman" w:hAnsi="Times New Roman"/>
          <w:color w:val="1F2937"/>
          <w:sz w:val="22"/>
          <w:szCs w:val="22"/>
        </w:rPr>
        <w:t xml:space="preserve">Wikipedia EN (Schizophrenia) donne la phrase ENTIÈRE, dont la leçon ne citait que la première moitié : « About half of those diagnosed with schizophrenia will experience a marked improvement over the long term with no further relapses, AND A SMALL PROPORTION OF THESE WILL RECOVER COMPLETELY. THE OTHER HALF WILL HAVE A LIFELONG IMPAIRMENT. » ⚠️ Rétabli le 06/09/2026 : la citation s'arrêtait exactement là où elle bascule, et la moitié défavorable disparaissait. Lue en entier, elle ne contredit pas le Merck Manual — « amélioration marquée » et « guérison » ne sont pas la même chose, et c'est ce qui explique l'écart apparent entre « la moitié » et « 15 à 25 % ». Ces données soulignent l'importance d'une prise en charge précoce et continue, sans autoriser à en tirer un pronostic favorable général.</w:t>
      </w:r>
    </w:p>
    <w:p>
      <w:pPr>
        <w:spacing w:after="120" w:before="120"/>
      </w:pPr>
      <w:r>
        <w:t xml:space="preserve"/>
      </w:r>
    </w:p>
    <w:p>
      <w:pPr>
        <w:spacing w:after="60" w:before="60"/>
      </w:pPr>
      <w:r>
        <w:rPr>
          <w:rFonts w:ascii="Times New Roman" w:cs="Times New Roman" w:eastAsia="Times New Roman" w:hAnsi="Times New Roman"/>
          <w:color w:val="1F2937"/>
          <w:sz w:val="22"/>
          <w:szCs w:val="22"/>
        </w:rPr>
        <w:t xml:space="preserve">La réhabilitation psychosociale — incluant la remédiation cognitive, le soutien à l'emploi assisté, la psychoéducation et la pair-aidance — est reconnue comme un pilier du rétablissement, aux côtés des traitements médicamenteux antipsychotiques (Psycom.org ; Merck Manual).</w:t>
      </w:r>
    </w:p>
    <w:p>
      <w:pPr>
        <w:spacing w:after="120" w:before="120"/>
      </w:pPr>
      <w:r>
        <w:t xml:space="preserve"/>
      </w:r>
    </w:p>
    <w:p>
      <w:pPr>
        <w:pStyle w:val="Heading2"/>
        <w:spacing w:after="100" w:before="300"/>
      </w:pPr>
      <w:r>
        <w:rPr>
          <w:rFonts w:ascii="Times New Roman" w:cs="Times New Roman" w:eastAsia="Times New Roman" w:hAnsi="Times New Roman"/>
          <w:b/>
          <w:bCs/>
          <w:color w:val="1B3A6B"/>
          <w:sz w:val="30"/>
          <w:szCs w:val="30"/>
        </w:rPr>
        <w:t xml:space="preserve">🛠️ Pratique (80%) — Exercices d'apprentissage actif</w:t>
      </w:r>
    </w:p>
    <w:p>
      <w:pPr>
        <w:pStyle w:val="Heading3"/>
        <w:spacing w:after="80" w:before="200"/>
      </w:pPr>
      <w:r>
        <w:rPr>
          <w:rFonts w:ascii="Times New Roman" w:cs="Times New Roman" w:eastAsia="Times New Roman" w:hAnsi="Times New Roman"/>
          <w:b/>
          <w:bCs/>
          <w:color w:val="1F2937"/>
          <w:sz w:val="26"/>
          <w:szCs w:val="26"/>
        </w:rPr>
        <w:t xml:space="preserve">Exercice 1 — Identifier les dimensions symptomatiques (vignettes cliniques)</w:t>
      </w:r>
    </w:p>
    <w:p>
      <w:pPr>
        <w:spacing w:after="60" w:before="60"/>
      </w:pPr>
      <w:r>
        <w:rPr>
          <w:rFonts w:ascii="Times New Roman" w:cs="Times New Roman" w:eastAsia="Times New Roman" w:hAnsi="Times New Roman"/>
          <w:color w:val="1F2937"/>
          <w:sz w:val="22"/>
          <w:szCs w:val="22"/>
        </w:rPr>
        <w:t xml:space="preserve">Objectif : apprendre à reconnaître et nommer les symptômes psychotiques dans des situations concrètes.</w:t>
      </w:r>
    </w:p>
    <w:p>
      <w:pPr>
        <w:spacing w:after="60" w:before="60"/>
      </w:pPr>
      <w:r>
        <w:rPr>
          <w:rFonts w:ascii="Times New Roman" w:cs="Times New Roman" w:eastAsia="Times New Roman" w:hAnsi="Times New Roman"/>
          <w:color w:val="1F2937"/>
          <w:sz w:val="22"/>
          <w:szCs w:val="22"/>
        </w:rPr>
        <w:t xml:space="preserve">Lis chacune des trois vignettes suivantes. Pour chaque situation, identifie : (a) la dimension symptomatique principale (positif / négatif / désorganisation / cognitif), et (b) le(s) signe(s) clinique(s) précis.</w:t>
      </w:r>
    </w:p>
    <w:p>
      <w:pPr>
        <w:spacing w:after="120" w:before="120"/>
      </w:pPr>
      <w:r>
        <w:t xml:space="preserve"/>
      </w:r>
    </w:p>
    <w:p>
      <w:pPr>
        <w:spacing w:after="60" w:before="60"/>
      </w:pPr>
      <w:r>
        <w:rPr>
          <w:rFonts w:ascii="Times New Roman" w:cs="Times New Roman" w:eastAsia="Times New Roman" w:hAnsi="Times New Roman"/>
          <w:b/>
          <w:bCs/>
          <w:color w:val="1F2937"/>
          <w:sz w:val="22"/>
          <w:szCs w:val="22"/>
        </w:rPr>
        <w:t xml:space="preserve">Vignette A — Karim, 24 ans</w:t>
      </w:r>
    </w:p>
    <w:p>
      <w:pPr>
        <w:shd w:fill="EEF2F7" w:color="auto" w:val="clear"/>
        <w:spacing w:after="100" w:before="100"/>
        <w:ind w:left="720"/>
      </w:pPr>
      <w:r>
        <w:rPr>
          <w:rFonts w:ascii="Times New Roman" w:cs="Times New Roman" w:eastAsia="Times New Roman" w:hAnsi="Times New Roman"/>
          <w:i/>
          <w:iCs/>
          <w:color w:val="1B3A6B"/>
          <w:sz w:val="22"/>
          <w:szCs w:val="22"/>
        </w:rPr>
        <w:t xml:space="preserve">Depuis plusieurs semaines, Karim affirme que ses voisins ont installé des micros dans ses murs pour l'espionner. Il interprète chaque bruit de l'immeuble comme une preuve. Il ne sort plus, répond à peine aux membres de l'équipe, refuse les repas collectifs.</w:t>
      </w:r>
    </w:p>
    <w:p>
      <w:pPr>
        <w:spacing w:after="60" w:before="60"/>
      </w:pPr>
      <w:r>
        <w:rPr>
          <w:rFonts w:ascii="Times New Roman" w:cs="Times New Roman" w:eastAsia="Times New Roman" w:hAnsi="Times New Roman"/>
          <w:color w:val="1F2937"/>
          <w:sz w:val="22"/>
          <w:szCs w:val="22"/>
        </w:rPr>
        <w:t xml:space="preserve">→ Identifie les dimensions symptomatiques et les signes cliniques.</w:t>
      </w:r>
    </w:p>
    <w:p>
      <w:pPr>
        <w:spacing w:after="120" w:before="120"/>
      </w:pPr>
      <w:r>
        <w:t xml:space="preserve"/>
      </w:r>
    </w:p>
    <w:p>
      <w:pPr>
        <w:spacing w:after="60" w:before="60"/>
      </w:pPr>
      <w:r>
        <w:rPr>
          <w:rFonts w:ascii="Times New Roman" w:cs="Times New Roman" w:eastAsia="Times New Roman" w:hAnsi="Times New Roman"/>
          <w:b/>
          <w:bCs/>
          <w:color w:val="1F2937"/>
          <w:sz w:val="22"/>
          <w:szCs w:val="22"/>
        </w:rPr>
        <w:t xml:space="preserve">Vignette B — Nadia, 31 ans</w:t>
      </w:r>
    </w:p>
    <w:p>
      <w:pPr>
        <w:shd w:fill="EEF2F7" w:color="auto" w:val="clear"/>
        <w:spacing w:after="100" w:before="100"/>
        <w:ind w:left="720"/>
      </w:pPr>
      <w:r>
        <w:rPr>
          <w:rFonts w:ascii="Times New Roman" w:cs="Times New Roman" w:eastAsia="Times New Roman" w:hAnsi="Times New Roman"/>
          <w:i/>
          <w:iCs/>
          <w:color w:val="1B3A6B"/>
          <w:sz w:val="22"/>
          <w:szCs w:val="22"/>
        </w:rPr>
        <w:t xml:space="preserve">L'équipe remarque que Nadia ne prend plus d'initiative. Elle reste des heures assise dans sa chambre, répond par monosyllabes, ne manifeste aucune émotion visible même lorsque sa famille lui rend visite. Elle dit ne « ressentir plus grand-chose ». Elle ne se lave plus régulièrement.</w:t>
      </w:r>
    </w:p>
    <w:p>
      <w:pPr>
        <w:spacing w:after="60" w:before="60"/>
      </w:pPr>
      <w:r>
        <w:rPr>
          <w:rFonts w:ascii="Times New Roman" w:cs="Times New Roman" w:eastAsia="Times New Roman" w:hAnsi="Times New Roman"/>
          <w:color w:val="1F2937"/>
          <w:sz w:val="22"/>
          <w:szCs w:val="22"/>
        </w:rPr>
        <w:t xml:space="preserve">→ Identifie les dimensions symptomatiques et les signes cliniques.</w:t>
      </w:r>
    </w:p>
    <w:p>
      <w:pPr>
        <w:spacing w:after="120" w:before="120"/>
      </w:pPr>
      <w:r>
        <w:t xml:space="preserve"/>
      </w:r>
    </w:p>
    <w:p>
      <w:pPr>
        <w:spacing w:after="60" w:before="60"/>
      </w:pPr>
      <w:r>
        <w:rPr>
          <w:rFonts w:ascii="Times New Roman" w:cs="Times New Roman" w:eastAsia="Times New Roman" w:hAnsi="Times New Roman"/>
          <w:b/>
          <w:bCs/>
          <w:color w:val="1F2937"/>
          <w:sz w:val="22"/>
          <w:szCs w:val="22"/>
        </w:rPr>
        <w:t xml:space="preserve">Vignette C — Thomas, 28 ans</w:t>
      </w:r>
    </w:p>
    <w:p>
      <w:pPr>
        <w:shd w:fill="EEF2F7" w:color="auto" w:val="clear"/>
        <w:spacing w:after="100" w:before="100"/>
        <w:ind w:left="720"/>
      </w:pPr>
      <w:r>
        <w:rPr>
          <w:rFonts w:ascii="Times New Roman" w:cs="Times New Roman" w:eastAsia="Times New Roman" w:hAnsi="Times New Roman"/>
          <w:i/>
          <w:iCs/>
          <w:color w:val="1B3A6B"/>
          <w:sz w:val="22"/>
          <w:szCs w:val="22"/>
        </w:rPr>
        <w:t xml:space="preserve">Thomas parle beaucoup en réunion de groupe, mais son discours est difficile à suivre : il passe d'un sujet à l'autre sans transition, invente parfois des mots, et rit à des moments inattendus. Il affirme entendre « la voix de son guide » qui lui donne des instructions.</w:t>
      </w:r>
    </w:p>
    <w:p>
      <w:pPr>
        <w:spacing w:after="60" w:before="60"/>
      </w:pPr>
      <w:r>
        <w:rPr>
          <w:rFonts w:ascii="Times New Roman" w:cs="Times New Roman" w:eastAsia="Times New Roman" w:hAnsi="Times New Roman"/>
          <w:color w:val="1F2937"/>
          <w:sz w:val="22"/>
          <w:szCs w:val="22"/>
        </w:rPr>
        <w:t xml:space="preserve">→ Identifie les dimensions symptomatiques et les signes cliniques.</w:t>
      </w:r>
    </w:p>
    <w:p>
      <w:pPr>
        <w:spacing w:after="120" w:before="120"/>
      </w:pPr>
      <w:r>
        <w:t xml:space="preserve"/>
      </w:r>
    </w:p>
    <w:p>
      <w:pPr>
        <w:spacing w:after="60" w:before="60"/>
      </w:pPr>
      <w:r>
        <w:rPr>
          <w:rFonts w:ascii="Times New Roman" w:cs="Times New Roman" w:eastAsia="Times New Roman" w:hAnsi="Times New Roman"/>
          <w:b/>
          <w:bCs/>
          <w:color w:val="1F2937"/>
          <w:sz w:val="22"/>
          <w:szCs w:val="22"/>
        </w:rPr>
        <w:t xml:space="preserve">Corrigé commenté :</w:t>
      </w:r>
    </w:p>
    <w:p>
      <w:pPr>
        <w:spacing w:after="60" w:before="60"/>
      </w:pPr>
      <w:r>
        <w:rPr>
          <w:rFonts w:ascii="Times New Roman" w:cs="Times New Roman" w:eastAsia="Times New Roman" w:hAnsi="Times New Roman"/>
          <w:b/>
          <w:bCs/>
          <w:color w:val="1F2937"/>
          <w:sz w:val="22"/>
          <w:szCs w:val="22"/>
        </w:rPr>
        <w:t xml:space="preserve">Vignette A :</w:t>
      </w:r>
    </w:p>
    <w:p>
      <w:pPr>
        <w:pStyle w:val="ListParagraph"/>
        <w:numPr>
          <w:ilvl w:val="0"/>
          <w:numId w:val="1"/>
        </w:numPr>
        <w:spacing w:after="40" w:before="40"/>
      </w:pPr>
      <w:r>
        <w:rPr>
          <w:rFonts w:ascii="Times New Roman" w:cs="Times New Roman" w:eastAsia="Times New Roman" w:hAnsi="Times New Roman"/>
          <w:color w:val="1F2937"/>
          <w:sz w:val="22"/>
          <w:szCs w:val="22"/>
        </w:rPr>
        <w:t xml:space="preserve">Symptômes positifs : idée délirante de persécution (conviction d'être espionné) ; évitement social secondaire</w:t>
      </w:r>
    </w:p>
    <w:p>
      <w:pPr>
        <w:pStyle w:val="ListParagraph"/>
        <w:numPr>
          <w:ilvl w:val="0"/>
          <w:numId w:val="1"/>
        </w:numPr>
        <w:spacing w:after="40" w:before="40"/>
      </w:pPr>
      <w:r>
        <w:rPr>
          <w:rFonts w:ascii="Times New Roman" w:cs="Times New Roman" w:eastAsia="Times New Roman" w:hAnsi="Times New Roman"/>
          <w:color w:val="1F2937"/>
          <w:sz w:val="22"/>
          <w:szCs w:val="22"/>
        </w:rPr>
        <w:t xml:space="preserve">Symptômes négatifs : retrait social (refus repas collectifs, isolement), possible avolition</w:t>
      </w:r>
    </w:p>
    <w:p>
      <w:pPr>
        <w:pStyle w:val="ListParagraph"/>
        <w:numPr>
          <w:ilvl w:val="0"/>
          <w:numId w:val="1"/>
        </w:numPr>
        <w:spacing w:after="40" w:before="40"/>
      </w:pPr>
      <w:r>
        <w:rPr>
          <w:rFonts w:ascii="Times New Roman" w:cs="Times New Roman" w:eastAsia="Times New Roman" w:hAnsi="Times New Roman"/>
          <w:color w:val="1F2937"/>
          <w:sz w:val="22"/>
          <w:szCs w:val="22"/>
        </w:rPr>
        <w:t xml:space="preserve">Note de vigilance : un état de méfiance intense peut précéder une demande d'aide — l'enjeu pour l'équipe est de maintenir le lien sans confrontation directe sur le délire</w:t>
      </w:r>
    </w:p>
    <w:p>
      <w:pPr>
        <w:spacing w:after="60" w:before="60"/>
      </w:pPr>
      <w:r>
        <w:rPr>
          <w:rFonts w:ascii="Times New Roman" w:cs="Times New Roman" w:eastAsia="Times New Roman" w:hAnsi="Times New Roman"/>
          <w:b/>
          <w:bCs/>
          <w:color w:val="1F2937"/>
          <w:sz w:val="22"/>
          <w:szCs w:val="22"/>
        </w:rPr>
        <w:t xml:space="preserve">Vignette B :</w:t>
      </w:r>
    </w:p>
    <w:p>
      <w:pPr>
        <w:pStyle w:val="ListParagraph"/>
        <w:numPr>
          <w:ilvl w:val="0"/>
          <w:numId w:val="1"/>
        </w:numPr>
        <w:spacing w:after="40" w:before="40"/>
      </w:pPr>
      <w:r>
        <w:rPr>
          <w:rFonts w:ascii="Times New Roman" w:cs="Times New Roman" w:eastAsia="Times New Roman" w:hAnsi="Times New Roman"/>
          <w:color w:val="1F2937"/>
          <w:sz w:val="22"/>
          <w:szCs w:val="22"/>
        </w:rPr>
        <w:t xml:space="preserve">Symptômes négatifs dominants : avolition (pas d'initiative), alogie (réponses monosyllabiques), anhédonie (ne ressent plus rien), émoussement de l'affect, déficits dans les soins personnels</w:t>
      </w:r>
    </w:p>
    <w:p>
      <w:pPr>
        <w:pStyle w:val="ListParagraph"/>
        <w:numPr>
          <w:ilvl w:val="0"/>
          <w:numId w:val="1"/>
        </w:numPr>
        <w:spacing w:after="40" w:before="40"/>
      </w:pPr>
      <w:r>
        <w:rPr>
          <w:rFonts w:ascii="Times New Roman" w:cs="Times New Roman" w:eastAsia="Times New Roman" w:hAnsi="Times New Roman"/>
          <w:color w:val="1F2937"/>
          <w:sz w:val="22"/>
          <w:szCs w:val="22"/>
        </w:rPr>
        <w:t xml:space="preserve">Ces symptômes sont discrets et progressifs — risque de banalisation par les équipes : « elle a toujours été comme ça »</w:t>
      </w:r>
    </w:p>
    <w:p>
      <w:pPr>
        <w:pStyle w:val="ListParagraph"/>
        <w:numPr>
          <w:ilvl w:val="0"/>
          <w:numId w:val="1"/>
        </w:numPr>
        <w:spacing w:after="40" w:before="40"/>
      </w:pPr>
      <w:r>
        <w:rPr>
          <w:rFonts w:ascii="Times New Roman" w:cs="Times New Roman" w:eastAsia="Times New Roman" w:hAnsi="Times New Roman"/>
          <w:color w:val="1F2937"/>
          <w:sz w:val="22"/>
          <w:szCs w:val="22"/>
        </w:rPr>
        <w:t xml:space="preserve">Ils sont souvent moins impressionnants mais plus durables et invalidants que les symptômes positifs</w:t>
      </w:r>
    </w:p>
    <w:p>
      <w:pPr>
        <w:spacing w:after="60" w:before="60"/>
      </w:pPr>
      <w:r>
        <w:rPr>
          <w:rFonts w:ascii="Times New Roman" w:cs="Times New Roman" w:eastAsia="Times New Roman" w:hAnsi="Times New Roman"/>
          <w:b/>
          <w:bCs/>
          <w:color w:val="1F2937"/>
          <w:sz w:val="22"/>
          <w:szCs w:val="22"/>
        </w:rPr>
        <w:t xml:space="preserve">Vignette C :</w:t>
      </w:r>
    </w:p>
    <w:p>
      <w:pPr>
        <w:pStyle w:val="ListParagraph"/>
        <w:numPr>
          <w:ilvl w:val="0"/>
          <w:numId w:val="1"/>
        </w:numPr>
        <w:spacing w:after="40" w:before="40"/>
      </w:pPr>
      <w:r>
        <w:rPr>
          <w:rFonts w:ascii="Times New Roman" w:cs="Times New Roman" w:eastAsia="Times New Roman" w:hAnsi="Times New Roman"/>
          <w:color w:val="1F2937"/>
          <w:sz w:val="22"/>
          <w:szCs w:val="22"/>
        </w:rPr>
        <w:t xml:space="preserve">Symptômes positifs : hallucination auditive (voix), possiblement délire (le 'guide')</w:t>
      </w:r>
    </w:p>
    <w:p>
      <w:pPr>
        <w:pStyle w:val="ListParagraph"/>
        <w:numPr>
          <w:ilvl w:val="0"/>
          <w:numId w:val="1"/>
        </w:numPr>
        <w:spacing w:after="40" w:before="40"/>
      </w:pPr>
      <w:r>
        <w:rPr>
          <w:rFonts w:ascii="Times New Roman" w:cs="Times New Roman" w:eastAsia="Times New Roman" w:hAnsi="Times New Roman"/>
          <w:color w:val="1F2937"/>
          <w:sz w:val="22"/>
          <w:szCs w:val="22"/>
        </w:rPr>
        <w:t xml:space="preserve">Désorganisation : discours incohérent, coq-à-l'âne, néologismes, comportement inapproprié (rires inattendus)</w:t>
      </w:r>
    </w:p>
    <w:p>
      <w:pPr>
        <w:pStyle w:val="ListParagraph"/>
        <w:numPr>
          <w:ilvl w:val="0"/>
          <w:numId w:val="1"/>
        </w:numPr>
        <w:spacing w:after="40" w:before="40"/>
      </w:pPr>
      <w:r>
        <w:rPr>
          <w:rFonts w:ascii="Times New Roman" w:cs="Times New Roman" w:eastAsia="Times New Roman" w:hAnsi="Times New Roman"/>
          <w:color w:val="1F2937"/>
          <w:sz w:val="22"/>
          <w:szCs w:val="22"/>
        </w:rPr>
        <w:t xml:space="preserve">Note : la coexistence d'hallucinations ET de désorganisation du discours renforce l'orientation vers un trouble psychotique — à signaler rapidement à l'équipe soignante</w:t>
      </w:r>
    </w:p>
    <w:p>
      <w:pPr>
        <w:spacing w:after="120" w:before="120"/>
      </w:pPr>
      <w:r>
        <w:t xml:space="preserve"/>
      </w:r>
    </w:p>
    <w:p>
      <w:pPr>
        <w:pStyle w:val="Heading3"/>
        <w:spacing w:after="80" w:before="200"/>
      </w:pPr>
      <w:r>
        <w:rPr>
          <w:rFonts w:ascii="Times New Roman" w:cs="Times New Roman" w:eastAsia="Times New Roman" w:hAnsi="Times New Roman"/>
          <w:b/>
          <w:bCs/>
          <w:color w:val="1F2937"/>
          <w:sz w:val="26"/>
          <w:szCs w:val="26"/>
        </w:rPr>
        <w:t xml:space="preserve">Exercice 2 — Différencier les troubles du spectre psychotique</w:t>
      </w:r>
    </w:p>
    <w:p>
      <w:pPr>
        <w:spacing w:after="60" w:before="60"/>
      </w:pPr>
      <w:r>
        <w:rPr>
          <w:rFonts w:ascii="Times New Roman" w:cs="Times New Roman" w:eastAsia="Times New Roman" w:hAnsi="Times New Roman"/>
          <w:color w:val="1F2937"/>
          <w:sz w:val="22"/>
          <w:szCs w:val="22"/>
        </w:rPr>
        <w:t xml:space="preserve">Objectif : s'approprier les critères distinctifs pour ne pas confondre schizophrénie, trouble délirant, trouble schizoaffectif et psychose brève.</w:t>
      </w:r>
    </w:p>
    <w:p>
      <w:pPr>
        <w:spacing w:after="120" w:before="120"/>
      </w:pPr>
      <w:r>
        <w:t xml:space="preserve"/>
      </w:r>
    </w:p>
    <w:p>
      <w:pPr>
        <w:spacing w:after="60" w:before="60"/>
      </w:pPr>
      <w:r>
        <w:rPr>
          <w:rFonts w:ascii="Times New Roman" w:cs="Times New Roman" w:eastAsia="Times New Roman" w:hAnsi="Times New Roman"/>
          <w:color w:val="1F2937"/>
          <w:sz w:val="22"/>
          <w:szCs w:val="22"/>
        </w:rPr>
        <w:t xml:space="preserve">Relis le tableau comparatif de la partie théorie, puis réponds aux questions suivantes SANS regarder le tableau :</w:t>
      </w:r>
    </w:p>
    <w:p>
      <w:pPr>
        <w:spacing w:after="60" w:before="60"/>
      </w:pPr>
      <w:r>
        <w:rPr>
          <w:rFonts w:ascii="Times New Roman" w:cs="Times New Roman" w:eastAsia="Times New Roman" w:hAnsi="Times New Roman"/>
          <w:b/>
          <w:bCs/>
          <w:color w:val="1F2937"/>
          <w:sz w:val="22"/>
          <w:szCs w:val="22"/>
        </w:rPr>
        <w:t xml:space="preserve">Question 1 :</w:t>
      </w:r>
    </w:p>
    <w:p>
      <w:pPr>
        <w:spacing w:after="60" w:before="60"/>
      </w:pPr>
      <w:r>
        <w:rPr>
          <w:rFonts w:ascii="Times New Roman" w:cs="Times New Roman" w:eastAsia="Times New Roman" w:hAnsi="Times New Roman"/>
          <w:color w:val="1F2937"/>
          <w:sz w:val="22"/>
          <w:szCs w:val="22"/>
        </w:rPr>
        <w:t xml:space="preserve">Un homme de 45 ans présente depuis 3 semaines des idées délirantes de persécution intenses, des hallucinations auditives, et un discours très désorganisé. Il n'avait aucun antécédent psychiatrique. La crise est survenue après un événement de vie très stressant. Quel(s) diagnostic(s) doit-on envisager en premier lieu et pourquoi ?</w:t>
      </w:r>
    </w:p>
    <w:p>
      <w:pPr>
        <w:spacing w:after="120" w:before="120"/>
      </w:pPr>
      <w:r>
        <w:t xml:space="preserve"/>
      </w:r>
    </w:p>
    <w:p>
      <w:pPr>
        <w:spacing w:after="60" w:before="60"/>
      </w:pPr>
      <w:r>
        <w:rPr>
          <w:rFonts w:ascii="Times New Roman" w:cs="Times New Roman" w:eastAsia="Times New Roman" w:hAnsi="Times New Roman"/>
          <w:b/>
          <w:bCs/>
          <w:color w:val="1F2937"/>
          <w:sz w:val="22"/>
          <w:szCs w:val="22"/>
        </w:rPr>
        <w:t xml:space="preserve">Question 2 :</w:t>
      </w:r>
    </w:p>
    <w:p>
      <w:pPr>
        <w:spacing w:after="60" w:before="60"/>
      </w:pPr>
      <w:r>
        <w:rPr>
          <w:rFonts w:ascii="Times New Roman" w:cs="Times New Roman" w:eastAsia="Times New Roman" w:hAnsi="Times New Roman"/>
          <w:color w:val="1F2937"/>
          <w:sz w:val="22"/>
          <w:szCs w:val="22"/>
        </w:rPr>
        <w:t xml:space="preserve">Une femme de 35 ans suit un traitement psychiatrique depuis 8 ans. On observe chez elle des épisodes durant lesquels elle entend des voix et a des idées délirantes, entrecoupés de périodes où elle présente des épisodes dépressifs sévères. Quel diagnostic orienterait-on ?</w:t>
      </w:r>
    </w:p>
    <w:p>
      <w:pPr>
        <w:spacing w:after="120" w:before="120"/>
      </w:pPr>
      <w:r>
        <w:t xml:space="preserve"/>
      </w:r>
    </w:p>
    <w:p>
      <w:pPr>
        <w:spacing w:after="60" w:before="60"/>
      </w:pPr>
      <w:r>
        <w:rPr>
          <w:rFonts w:ascii="Times New Roman" w:cs="Times New Roman" w:eastAsia="Times New Roman" w:hAnsi="Times New Roman"/>
          <w:b/>
          <w:bCs/>
          <w:color w:val="1F2937"/>
          <w:sz w:val="22"/>
          <w:szCs w:val="22"/>
        </w:rPr>
        <w:t xml:space="preserve">Question 3 :</w:t>
      </w:r>
    </w:p>
    <w:p>
      <w:pPr>
        <w:spacing w:after="60" w:before="60"/>
      </w:pPr>
      <w:r>
        <w:rPr>
          <w:rFonts w:ascii="Times New Roman" w:cs="Times New Roman" w:eastAsia="Times New Roman" w:hAnsi="Times New Roman"/>
          <w:color w:val="1F2937"/>
          <w:sz w:val="22"/>
          <w:szCs w:val="22"/>
        </w:rPr>
        <w:t xml:space="preserve">Un homme de 58 ans est convaincu depuis 4 mois que son employeur cherche à le licencier en complotant contre lui. Il n'a pas d'hallucinations. Son comportement au quotidien est globalement préservé. Quel diagnostic envisager ?</w:t>
      </w:r>
    </w:p>
    <w:p>
      <w:pPr>
        <w:spacing w:after="120" w:before="120"/>
      </w:pPr>
      <w:r>
        <w:t xml:space="preserve"/>
      </w:r>
    </w:p>
    <w:p>
      <w:pPr>
        <w:spacing w:after="60" w:before="60"/>
      </w:pPr>
      <w:r>
        <w:rPr>
          <w:rFonts w:ascii="Times New Roman" w:cs="Times New Roman" w:eastAsia="Times New Roman" w:hAnsi="Times New Roman"/>
          <w:b/>
          <w:bCs/>
          <w:color w:val="1F2937"/>
          <w:sz w:val="22"/>
          <w:szCs w:val="22"/>
        </w:rPr>
        <w:t xml:space="preserve">Corrigé :</w:t>
      </w:r>
    </w:p>
    <w:p>
      <w:pPr>
        <w:spacing w:after="60" w:before="60"/>
      </w:pPr>
      <w:r>
        <w:rPr>
          <w:rFonts w:ascii="Times New Roman" w:cs="Times New Roman" w:eastAsia="Times New Roman" w:hAnsi="Times New Roman"/>
          <w:b/>
          <w:bCs/>
          <w:color w:val="1F2937"/>
          <w:sz w:val="22"/>
          <w:szCs w:val="22"/>
        </w:rPr>
        <w:t xml:space="preserve">Q1 :</w:t>
      </w:r>
    </w:p>
    <w:p>
      <w:pPr>
        <w:pStyle w:val="ListParagraph"/>
        <w:numPr>
          <w:ilvl w:val="0"/>
          <w:numId w:val="1"/>
        </w:numPr>
        <w:spacing w:after="40" w:before="40"/>
      </w:pPr>
      <w:r>
        <w:rPr>
          <w:rFonts w:ascii="Times New Roman" w:cs="Times New Roman" w:eastAsia="Times New Roman" w:hAnsi="Times New Roman"/>
          <w:color w:val="1F2937"/>
          <w:sz w:val="22"/>
          <w:szCs w:val="22"/>
        </w:rPr>
        <w:t xml:space="preserve">Durée &lt; 1 mois → envisager trouble psychotique bref (si &lt; 1 mois et retour à l'état antérieur)</w:t>
      </w:r>
    </w:p>
    <w:p>
      <w:pPr>
        <w:pStyle w:val="ListParagraph"/>
        <w:numPr>
          <w:ilvl w:val="0"/>
          <w:numId w:val="1"/>
        </w:numPr>
        <w:spacing w:after="40" w:before="40"/>
      </w:pPr>
      <w:r>
        <w:rPr>
          <w:rFonts w:ascii="Times New Roman" w:cs="Times New Roman" w:eastAsia="Times New Roman" w:hAnsi="Times New Roman"/>
          <w:color w:val="1F2937"/>
          <w:sz w:val="22"/>
          <w:szCs w:val="22"/>
        </w:rPr>
        <w:t xml:space="preserve">Si la durée dépasse 1 mois mais reste &lt; 6 mois → trouble schizophréniforme</w:t>
      </w:r>
    </w:p>
    <w:p>
      <w:pPr>
        <w:pStyle w:val="ListParagraph"/>
        <w:numPr>
          <w:ilvl w:val="0"/>
          <w:numId w:val="1"/>
        </w:numPr>
        <w:spacing w:after="40" w:before="40"/>
      </w:pPr>
      <w:r>
        <w:rPr>
          <w:rFonts w:ascii="Times New Roman" w:cs="Times New Roman" w:eastAsia="Times New Roman" w:hAnsi="Times New Roman"/>
          <w:color w:val="1F2937"/>
          <w:sz w:val="22"/>
          <w:szCs w:val="22"/>
        </w:rPr>
        <w:t xml:space="preserve">Si les symptômes persistent &gt; 6 mois → schizophrénie</w:t>
      </w:r>
    </w:p>
    <w:p>
      <w:pPr>
        <w:pStyle w:val="ListParagraph"/>
        <w:numPr>
          <w:ilvl w:val="0"/>
          <w:numId w:val="1"/>
        </w:numPr>
        <w:spacing w:after="40" w:before="40"/>
      </w:pPr>
      <w:r>
        <w:rPr>
          <w:rFonts w:ascii="Times New Roman" w:cs="Times New Roman" w:eastAsia="Times New Roman" w:hAnsi="Times New Roman"/>
          <w:color w:val="1F2937"/>
          <w:sz w:val="22"/>
          <w:szCs w:val="22"/>
        </w:rPr>
        <w:t xml:space="preserve">Le facteur déclenchant stressant est compatible avec le trouble psychotique bref, mais ne l'exclut pas pour les autres diagnostics</w:t>
      </w:r>
    </w:p>
    <w:p>
      <w:pPr>
        <w:spacing w:after="60" w:before="60"/>
      </w:pPr>
      <w:r>
        <w:rPr>
          <w:rFonts w:ascii="Times New Roman" w:cs="Times New Roman" w:eastAsia="Times New Roman" w:hAnsi="Times New Roman"/>
          <w:b/>
          <w:bCs/>
          <w:color w:val="1F2937"/>
          <w:sz w:val="22"/>
          <w:szCs w:val="22"/>
        </w:rPr>
        <w:t xml:space="preserve">Q2 :</w:t>
      </w:r>
    </w:p>
    <w:p>
      <w:pPr>
        <w:pStyle w:val="ListParagraph"/>
        <w:numPr>
          <w:ilvl w:val="0"/>
          <w:numId w:val="1"/>
        </w:numPr>
        <w:spacing w:after="40" w:before="40"/>
      </w:pPr>
      <w:r>
        <w:rPr>
          <w:rFonts w:ascii="Times New Roman" w:cs="Times New Roman" w:eastAsia="Times New Roman" w:hAnsi="Times New Roman"/>
          <w:color w:val="1F2937"/>
          <w:sz w:val="22"/>
          <w:szCs w:val="22"/>
        </w:rPr>
        <w:t xml:space="preserve">L'alternance de phases psychotiques ET de phases thymiques (dépressives ici) oriente vers un trouble schizoaffectif</w:t>
      </w:r>
    </w:p>
    <w:p>
      <w:pPr>
        <w:pStyle w:val="ListParagraph"/>
        <w:numPr>
          <w:ilvl w:val="0"/>
          <w:numId w:val="1"/>
        </w:numPr>
        <w:spacing w:after="40" w:before="40"/>
      </w:pPr>
      <w:r>
        <w:rPr>
          <w:rFonts w:ascii="Times New Roman" w:cs="Times New Roman" w:eastAsia="Times New Roman" w:hAnsi="Times New Roman"/>
          <w:color w:val="1F2937"/>
          <w:sz w:val="22"/>
          <w:szCs w:val="22"/>
        </w:rPr>
        <w:t xml:space="preserve">À distinguer d'un trouble bipolaire avec caractéristiques psychotiques : dans le trouble schizoaffectif, les symptômes psychotiques sont présents en dehors des épisodes thymiques</w:t>
      </w:r>
    </w:p>
    <w:p>
      <w:pPr>
        <w:spacing w:after="60" w:before="60"/>
      </w:pPr>
      <w:r>
        <w:rPr>
          <w:rFonts w:ascii="Times New Roman" w:cs="Times New Roman" w:eastAsia="Times New Roman" w:hAnsi="Times New Roman"/>
          <w:b/>
          <w:bCs/>
          <w:color w:val="1F2937"/>
          <w:sz w:val="22"/>
          <w:szCs w:val="22"/>
        </w:rPr>
        <w:t xml:space="preserve">Q3 :</w:t>
      </w:r>
    </w:p>
    <w:p>
      <w:pPr>
        <w:pStyle w:val="ListParagraph"/>
        <w:numPr>
          <w:ilvl w:val="0"/>
          <w:numId w:val="1"/>
        </w:numPr>
        <w:spacing w:after="40" w:before="40"/>
      </w:pPr>
      <w:r>
        <w:rPr>
          <w:rFonts w:ascii="Times New Roman" w:cs="Times New Roman" w:eastAsia="Times New Roman" w:hAnsi="Times New Roman"/>
          <w:color w:val="1F2937"/>
          <w:sz w:val="22"/>
          <w:szCs w:val="22"/>
        </w:rPr>
        <w:t xml:space="preserve">Délire non bizarre (complot de l'employeur), sans hallucinations, fonctionnement préservé → trouble délirant</w:t>
      </w:r>
    </w:p>
    <w:p>
      <w:pPr>
        <w:pStyle w:val="ListParagraph"/>
        <w:numPr>
          <w:ilvl w:val="0"/>
          <w:numId w:val="1"/>
        </w:numPr>
        <w:spacing w:after="40" w:before="40"/>
      </w:pPr>
      <w:r>
        <w:rPr>
          <w:rFonts w:ascii="Times New Roman" w:cs="Times New Roman" w:eastAsia="Times New Roman" w:hAnsi="Times New Roman"/>
          <w:color w:val="1F2937"/>
          <w:sz w:val="22"/>
          <w:szCs w:val="22"/>
        </w:rPr>
        <w:t xml:space="preserve">La durée ≥ 1 mois confirme le critère minimal</w:t>
      </w:r>
    </w:p>
    <w:p>
      <w:pPr>
        <w:spacing w:after="120" w:before="120"/>
      </w:pPr>
      <w:r>
        <w:t xml:space="preserve"/>
      </w:r>
    </w:p>
    <w:p>
      <w:pPr>
        <w:pStyle w:val="Heading3"/>
        <w:spacing w:after="80" w:before="200"/>
      </w:pPr>
      <w:r>
        <w:rPr>
          <w:rFonts w:ascii="Times New Roman" w:cs="Times New Roman" w:eastAsia="Times New Roman" w:hAnsi="Times New Roman"/>
          <w:b/>
          <w:bCs/>
          <w:color w:val="1F2937"/>
          <w:sz w:val="26"/>
          <w:szCs w:val="26"/>
        </w:rPr>
        <w:t xml:space="preserve">Exercice 3 — Posture professionnelle : observation et non-stigmatisation</w:t>
      </w:r>
    </w:p>
    <w:p>
      <w:pPr>
        <w:spacing w:after="60" w:before="60"/>
      </w:pPr>
      <w:r>
        <w:rPr>
          <w:rFonts w:ascii="Times New Roman" w:cs="Times New Roman" w:eastAsia="Times New Roman" w:hAnsi="Times New Roman"/>
          <w:color w:val="1F2937"/>
          <w:sz w:val="22"/>
          <w:szCs w:val="22"/>
        </w:rPr>
        <w:t xml:space="preserve">Objectif : développer une réflexion personnelle sur sa posture d'observateur, dans le respect de la personne et du cadre déontologique.</w:t>
      </w:r>
    </w:p>
    <w:p>
      <w:pPr>
        <w:spacing w:after="120" w:before="120"/>
      </w:pPr>
      <w:r>
        <w:t xml:space="preserve"/>
      </w:r>
    </w:p>
    <w:p>
      <w:pPr>
        <w:spacing w:after="60" w:before="60"/>
      </w:pPr>
      <w:r>
        <w:rPr>
          <w:rFonts w:ascii="Times New Roman" w:cs="Times New Roman" w:eastAsia="Times New Roman" w:hAnsi="Times New Roman"/>
          <w:color w:val="1F2937"/>
          <w:sz w:val="22"/>
          <w:szCs w:val="22"/>
        </w:rPr>
        <w:t xml:space="preserve">Réponds par écrit (journal de pratique) aux trois questions suivantes, en t'appuyant sur des situations que tu as pu observer — sans identifier les personnes :</w:t>
      </w:r>
    </w:p>
    <w:p>
      <w:pPr>
        <w:spacing w:after="120" w:before="120"/>
      </w:pPr>
      <w:r>
        <w:t xml:space="preserve"/>
      </w:r>
    </w:p>
    <w:p>
      <w:pPr>
        <w:spacing w:after="60" w:before="60"/>
      </w:pPr>
      <w:r>
        <w:rPr>
          <w:rFonts w:ascii="Times New Roman" w:cs="Times New Roman" w:eastAsia="Times New Roman" w:hAnsi="Times New Roman"/>
          <w:b/>
          <w:bCs/>
          <w:color w:val="1F2937"/>
          <w:sz w:val="22"/>
          <w:szCs w:val="22"/>
        </w:rPr>
        <w:t xml:space="preserve">Question A — L'étiquette</w:t>
      </w:r>
    </w:p>
    <w:p>
      <w:pPr>
        <w:spacing w:after="60" w:before="60"/>
      </w:pPr>
      <w:r>
        <w:rPr>
          <w:rFonts w:ascii="Times New Roman" w:cs="Times New Roman" w:eastAsia="Times New Roman" w:hAnsi="Times New Roman"/>
          <w:color w:val="1F2937"/>
          <w:sz w:val="22"/>
          <w:szCs w:val="22"/>
        </w:rPr>
        <w:t xml:space="preserve">Dans ton environnement professionnel ou personnel, as-tu observé des situations où un diagnostic psychiatrique (notamment « schizophrène ») était utilisé comme une étiquette définissant la personne entière ? Quels effets cela produisait-il sur la relation, l'accompagnement, les représentations de l'équipe ?</w:t>
      </w:r>
    </w:p>
    <w:p>
      <w:pPr>
        <w:spacing w:after="120" w:before="120"/>
      </w:pPr>
      <w:r>
        <w:t xml:space="preserve"/>
      </w:r>
    </w:p>
    <w:p>
      <w:pPr>
        <w:spacing w:after="60" w:before="60"/>
      </w:pPr>
      <w:r>
        <w:rPr>
          <w:rFonts w:ascii="Times New Roman" w:cs="Times New Roman" w:eastAsia="Times New Roman" w:hAnsi="Times New Roman"/>
          <w:b/>
          <w:bCs/>
          <w:color w:val="1F2937"/>
          <w:sz w:val="22"/>
          <w:szCs w:val="22"/>
        </w:rPr>
        <w:t xml:space="preserve">Question B — Les signes précoces</w:t>
      </w:r>
    </w:p>
    <w:p>
      <w:pPr>
        <w:spacing w:after="60" w:before="60"/>
      </w:pPr>
      <w:r>
        <w:rPr>
          <w:rFonts w:ascii="Times New Roman" w:cs="Times New Roman" w:eastAsia="Times New Roman" w:hAnsi="Times New Roman"/>
          <w:color w:val="1F2937"/>
          <w:sz w:val="22"/>
          <w:szCs w:val="22"/>
        </w:rPr>
        <w:t xml:space="preserve">La HAS note que la durée de psychose non traitée est de 18 mois à 2 ans en France. En tant que professionnel non-soignant, quels signes aurais-tu pu repérer — à partir de la théorie de cette leçon — qui justifieraient un signalement à l'équipe pluridisciplinaire ou au médecin coordinateur ?</w:t>
      </w:r>
    </w:p>
    <w:p>
      <w:pPr>
        <w:spacing w:after="120" w:before="120"/>
      </w:pPr>
      <w:r>
        <w:t xml:space="preserve"/>
      </w:r>
    </w:p>
    <w:p>
      <w:pPr>
        <w:spacing w:after="60" w:before="60"/>
      </w:pPr>
      <w:r>
        <w:rPr>
          <w:rFonts w:ascii="Times New Roman" w:cs="Times New Roman" w:eastAsia="Times New Roman" w:hAnsi="Times New Roman"/>
          <w:b/>
          <w:bCs/>
          <w:color w:val="1F2937"/>
          <w:sz w:val="22"/>
          <w:szCs w:val="22"/>
        </w:rPr>
        <w:t xml:space="preserve">Question C — Les symptômes négatifs</w:t>
      </w:r>
    </w:p>
    <w:p>
      <w:pPr>
        <w:spacing w:after="60" w:before="60"/>
      </w:pPr>
      <w:r>
        <w:rPr>
          <w:rFonts w:ascii="Times New Roman" w:cs="Times New Roman" w:eastAsia="Times New Roman" w:hAnsi="Times New Roman"/>
          <w:color w:val="1F2937"/>
          <w:sz w:val="22"/>
          <w:szCs w:val="22"/>
        </w:rPr>
        <w:t xml:space="preserve">Psycom.org souligne que les personnes avec des troubles schizophréniques sont souvent victimes de faux stéréotypes (dangerosité notamment). En t'appuyant sur les symptômes négatifs décrits dans cette leçon, explique pourquoi le risque de banalisation / de méconnaissance de ces symptômes est particulièrement élevé en équipe éducative.</w:t>
      </w:r>
    </w:p>
    <w:p>
      <w:pPr>
        <w:spacing w:after="120" w:before="120"/>
      </w:pPr>
      <w:r>
        <w:t xml:space="preserve"/>
      </w:r>
    </w:p>
    <w:p>
      <w:pPr>
        <w:spacing w:after="60" w:before="60"/>
      </w:pPr>
      <w:r>
        <w:rPr>
          <w:rFonts w:ascii="Times New Roman" w:cs="Times New Roman" w:eastAsia="Times New Roman" w:hAnsi="Times New Roman"/>
          <w:color w:val="1F2937"/>
          <w:sz w:val="22"/>
          <w:szCs w:val="22"/>
        </w:rPr>
        <w:t xml:space="preserve">Note de corrigé indicatif :</w:t>
      </w:r>
    </w:p>
    <w:p>
      <w:pPr>
        <w:pStyle w:val="ListParagraph"/>
        <w:numPr>
          <w:ilvl w:val="0"/>
          <w:numId w:val="1"/>
        </w:numPr>
        <w:spacing w:after="40" w:before="40"/>
      </w:pPr>
      <w:r>
        <w:rPr>
          <w:rFonts w:ascii="Times New Roman" w:cs="Times New Roman" w:eastAsia="Times New Roman" w:hAnsi="Times New Roman"/>
          <w:color w:val="1F2937"/>
          <w:sz w:val="22"/>
          <w:szCs w:val="22"/>
        </w:rPr>
        <w:t xml:space="preserve">A : L'étiquette réduit la personne à son diagnostic, ferme les possibilités d'évolution dans les représentations de l'équipe, et peut conduire à sous-estimer les capacités (phénomène de prophecy auto-réalisatrice).</w:t>
      </w:r>
    </w:p>
    <w:p>
      <w:pPr>
        <w:pStyle w:val="ListParagraph"/>
        <w:numPr>
          <w:ilvl w:val="0"/>
          <w:numId w:val="1"/>
        </w:numPr>
        <w:spacing w:after="40" w:before="40"/>
      </w:pPr>
      <w:r>
        <w:rPr>
          <w:rFonts w:ascii="Times New Roman" w:cs="Times New Roman" w:eastAsia="Times New Roman" w:hAnsi="Times New Roman"/>
          <w:color w:val="1F2937"/>
          <w:sz w:val="22"/>
          <w:szCs w:val="22"/>
        </w:rPr>
        <w:t xml:space="preserve">B : Retrait social progressif, négligence des soins personnels, discours appauvri, comportements inhabituels répétés, idées de référence évoquées en entretien informel, changements notables par rapport au fonctionnement antérieur.</w:t>
      </w:r>
    </w:p>
    <w:p>
      <w:pPr>
        <w:pStyle w:val="ListParagraph"/>
        <w:numPr>
          <w:ilvl w:val="0"/>
          <w:numId w:val="1"/>
        </w:numPr>
        <w:spacing w:after="40" w:before="40"/>
      </w:pPr>
      <w:r>
        <w:rPr>
          <w:rFonts w:ascii="Times New Roman" w:cs="Times New Roman" w:eastAsia="Times New Roman" w:hAnsi="Times New Roman"/>
          <w:color w:val="1F2937"/>
          <w:sz w:val="22"/>
          <w:szCs w:val="22"/>
        </w:rPr>
        <w:t xml:space="preserve">C : Les symptômes négatifs (apathie, retrait, absence d'expression) peuvent être interprétés à tort comme de la mauvaise volonté, de la paresse, ou simplement comme « le caractère » de la personne — surtout lorsque l'équipe ne dispose pas de repères sémiologiques.</w:t>
      </w:r>
    </w:p>
    <w:p>
      <w:pPr>
        <w:spacing w:after="120" w:before="120"/>
      </w:pPr>
      <w:r>
        <w:t xml:space="preserve"/>
      </w:r>
    </w:p>
    <w:p>
      <w:pPr>
        <w:pStyle w:val="Heading2"/>
        <w:spacing w:after="100" w:before="300"/>
      </w:pPr>
      <w:r>
        <w:rPr>
          <w:rFonts w:ascii="Times New Roman" w:cs="Times New Roman" w:eastAsia="Times New Roman" w:hAnsi="Times New Roman"/>
          <w:b/>
          <w:bCs/>
          <w:color w:val="1B3A6B"/>
          <w:sz w:val="30"/>
          <w:szCs w:val="30"/>
        </w:rPr>
        <w:t xml:space="preserve">🎯 Challenge — Situation composite : que faire ?</w:t>
      </w:r>
    </w:p>
    <w:p>
      <w:pPr>
        <w:spacing w:after="60" w:before="60"/>
      </w:pPr>
      <w:r>
        <w:rPr>
          <w:rFonts w:ascii="Times New Roman" w:cs="Times New Roman" w:eastAsia="Times New Roman" w:hAnsi="Times New Roman"/>
          <w:color w:val="1F2937"/>
          <w:sz w:val="22"/>
          <w:szCs w:val="22"/>
        </w:rPr>
        <w:t xml:space="preserve">Ce challenge mobilise l'ensemble de la leçon. Il s'agit d'une situation fictive complexe.</w:t>
      </w:r>
    </w:p>
    <w:p>
      <w:pPr>
        <w:spacing w:after="120" w:before="120"/>
      </w:pPr>
      <w:r>
        <w:t xml:space="preserve"/>
      </w:r>
    </w:p>
    <w:p>
      <w:pPr>
        <w:shd w:fill="EEF2F7" w:color="auto" w:val="clear"/>
        <w:spacing w:after="100" w:before="100"/>
        <w:ind w:left="720"/>
      </w:pPr>
      <w:r>
        <w:rPr>
          <w:rFonts w:ascii="Times New Roman" w:cs="Times New Roman" w:eastAsia="Times New Roman" w:hAnsi="Times New Roman"/>
          <w:i/>
          <w:iCs/>
          <w:color w:val="1B3A6B"/>
          <w:sz w:val="22"/>
          <w:szCs w:val="22"/>
        </w:rPr>
        <w:t xml:space="preserve">Arnaud, 26 ans, réside dans un foyer d'hébergement depuis 2 ans. Jusqu'ici, il participait aux activités, entretenait des liens avec ses colocataires et se rendait régulièrement à son ESAT. Depuis 6 semaines, l'équipe observe un changement progressif : il s'isole dans sa chambre, ne parle presque plus lors des repas, et a été aperçu à deux reprises en train de parler seul à voix haute. Lors d'un entretien informel, il a évoqué en passant « des gens qui le surveillent ». Il a raté plusieurs jours à l'ESAT sans explication. Aucun psychiatre référent n'a été contacté à ce jour.</w:t>
      </w:r>
    </w:p>
    <w:p>
      <w:pPr>
        <w:spacing w:after="120" w:before="120"/>
      </w:pPr>
      <w:r>
        <w:t xml:space="preserve"/>
      </w:r>
    </w:p>
    <w:p>
      <w:pPr>
        <w:spacing w:after="60" w:before="60"/>
      </w:pPr>
      <w:r>
        <w:rPr>
          <w:rFonts w:ascii="Times New Roman" w:cs="Times New Roman" w:eastAsia="Times New Roman" w:hAnsi="Times New Roman"/>
          <w:b/>
          <w:bCs/>
          <w:color w:val="1F2937"/>
          <w:sz w:val="22"/>
          <w:szCs w:val="22"/>
        </w:rPr>
        <w:t xml:space="preserve">Ta tâche :</w:t>
      </w:r>
    </w:p>
    <w:p>
      <w:pPr>
        <w:spacing w:after="60" w:before="60"/>
      </w:pPr>
      <w:r>
        <w:rPr>
          <w:rFonts w:ascii="Times New Roman" w:cs="Times New Roman" w:eastAsia="Times New Roman" w:hAnsi="Times New Roman"/>
          <w:color w:val="1F2937"/>
          <w:sz w:val="22"/>
          <w:szCs w:val="22"/>
        </w:rPr>
        <w:t xml:space="preserve">1. Identifie et nomme les dimensions symptomatiques observables dans cette situation (sans poser de diagnostic).</w:t>
      </w:r>
    </w:p>
    <w:p>
      <w:pPr>
        <w:spacing w:after="60" w:before="60"/>
      </w:pPr>
      <w:r>
        <w:rPr>
          <w:rFonts w:ascii="Times New Roman" w:cs="Times New Roman" w:eastAsia="Times New Roman" w:hAnsi="Times New Roman"/>
          <w:color w:val="1F2937"/>
          <w:sz w:val="22"/>
          <w:szCs w:val="22"/>
        </w:rPr>
        <w:t xml:space="preserve">2. Explique pourquoi le délai de 6 semaines sans signalement est problématique au regard des données épidémiologiques de cette leçon.</w:t>
      </w:r>
    </w:p>
    <w:p>
      <w:pPr>
        <w:spacing w:after="60" w:before="60"/>
      </w:pPr>
      <w:r>
        <w:rPr>
          <w:rFonts w:ascii="Times New Roman" w:cs="Times New Roman" w:eastAsia="Times New Roman" w:hAnsi="Times New Roman"/>
          <w:color w:val="1F2937"/>
          <w:sz w:val="22"/>
          <w:szCs w:val="22"/>
        </w:rPr>
        <w:t xml:space="preserve">3. Décris les étapes concrètes que tu mettrais en œuvre en tant que chef de service ou professionnel éducatif référent : qui contacter, dans quel ordre, comment formuler l'observation ?</w:t>
      </w:r>
    </w:p>
    <w:p>
      <w:pPr>
        <w:spacing w:after="60" w:before="60"/>
      </w:pPr>
      <w:r>
        <w:rPr>
          <w:rFonts w:ascii="Times New Roman" w:cs="Times New Roman" w:eastAsia="Times New Roman" w:hAnsi="Times New Roman"/>
          <w:color w:val="1F2937"/>
          <w:sz w:val="22"/>
          <w:szCs w:val="22"/>
        </w:rPr>
        <w:t xml:space="preserve">4. Quels points de vigilance éthiques dois-tu intégrer dans ta démarche ?</w:t>
      </w:r>
    </w:p>
    <w:p>
      <w:pPr>
        <w:spacing w:after="120" w:before="120"/>
      </w:pPr>
      <w:r>
        <w:t xml:space="preserve"/>
      </w:r>
    </w:p>
    <w:p>
      <w:pPr>
        <w:spacing w:after="60" w:before="60"/>
      </w:pPr>
      <w:r>
        <w:rPr>
          <w:rFonts w:ascii="Times New Roman" w:cs="Times New Roman" w:eastAsia="Times New Roman" w:hAnsi="Times New Roman"/>
          <w:b/>
          <w:bCs/>
          <w:color w:val="1F2937"/>
          <w:sz w:val="22"/>
          <w:szCs w:val="22"/>
        </w:rPr>
        <w:t xml:space="preserve">Éléments de corrigé :</w:t>
      </w:r>
    </w:p>
    <w:p>
      <w:pPr>
        <w:spacing w:after="60" w:before="60"/>
      </w:pPr>
      <w:r>
        <w:rPr>
          <w:rFonts w:ascii="Times New Roman" w:cs="Times New Roman" w:eastAsia="Times New Roman" w:hAnsi="Times New Roman"/>
          <w:b/>
          <w:bCs/>
          <w:color w:val="1F2937"/>
          <w:sz w:val="22"/>
          <w:szCs w:val="22"/>
        </w:rPr>
        <w:t xml:space="preserve">1. Dimensions observables :</w:t>
      </w:r>
    </w:p>
    <w:p>
      <w:pPr>
        <w:pStyle w:val="ListParagraph"/>
        <w:numPr>
          <w:ilvl w:val="0"/>
          <w:numId w:val="1"/>
        </w:numPr>
        <w:spacing w:after="40" w:before="40"/>
      </w:pPr>
      <w:r>
        <w:rPr>
          <w:rFonts w:ascii="Times New Roman" w:cs="Times New Roman" w:eastAsia="Times New Roman" w:hAnsi="Times New Roman"/>
          <w:color w:val="1F2937"/>
          <w:sz w:val="22"/>
          <w:szCs w:val="22"/>
        </w:rPr>
        <w:t xml:space="preserve">Symptômes positifs (présomptifs) : parler seul (hallucination auditive possible ?), idées de référence/persécution (« des gens qui le surveillent »)</w:t>
      </w:r>
    </w:p>
    <w:p>
      <w:pPr>
        <w:pStyle w:val="ListParagraph"/>
        <w:numPr>
          <w:ilvl w:val="0"/>
          <w:numId w:val="1"/>
        </w:numPr>
        <w:spacing w:after="40" w:before="40"/>
      </w:pPr>
      <w:r>
        <w:rPr>
          <w:rFonts w:ascii="Times New Roman" w:cs="Times New Roman" w:eastAsia="Times New Roman" w:hAnsi="Times New Roman"/>
          <w:color w:val="1F2937"/>
          <w:sz w:val="22"/>
          <w:szCs w:val="22"/>
        </w:rPr>
        <w:t xml:space="preserve">Symptômes négatifs : retrait social, alogie, aboulie (absences à l'ESAT)</w:t>
      </w:r>
    </w:p>
    <w:p>
      <w:pPr>
        <w:pStyle w:val="ListParagraph"/>
        <w:numPr>
          <w:ilvl w:val="0"/>
          <w:numId w:val="1"/>
        </w:numPr>
        <w:spacing w:after="40" w:before="40"/>
      </w:pPr>
      <w:r>
        <w:rPr>
          <w:rFonts w:ascii="Times New Roman" w:cs="Times New Roman" w:eastAsia="Times New Roman" w:hAnsi="Times New Roman"/>
          <w:color w:val="1F2937"/>
          <w:sz w:val="22"/>
          <w:szCs w:val="22"/>
        </w:rPr>
        <w:t xml:space="preserve">Repères fonctionnels : rupture nette avec le fonctionnement antérieur — critère important</w:t>
      </w:r>
    </w:p>
    <w:p>
      <w:pPr>
        <w:pStyle w:val="ListParagraph"/>
        <w:numPr>
          <w:ilvl w:val="0"/>
          <w:numId w:val="1"/>
        </w:numPr>
        <w:spacing w:after="40" w:before="40"/>
      </w:pPr>
      <w:r>
        <w:rPr>
          <w:rFonts w:ascii="Times New Roman" w:cs="Times New Roman" w:eastAsia="Times New Roman" w:hAnsi="Times New Roman"/>
          <w:color w:val="1F2937"/>
          <w:sz w:val="22"/>
          <w:szCs w:val="22"/>
        </w:rPr>
        <w:t xml:space="preserve">Important : il ne s'agit pas de « diagnostiquer » mais de transmettre des observations objectives et datées</w:t>
      </w:r>
    </w:p>
    <w:p>
      <w:pPr>
        <w:spacing w:after="60" w:before="60"/>
      </w:pPr>
      <w:r>
        <w:rPr>
          <w:rFonts w:ascii="Times New Roman" w:cs="Times New Roman" w:eastAsia="Times New Roman" w:hAnsi="Times New Roman"/>
          <w:b/>
          <w:bCs/>
          <w:color w:val="1F2937"/>
          <w:sz w:val="22"/>
          <w:szCs w:val="22"/>
        </w:rPr>
        <w:t xml:space="preserve">2. Délai de 6 semaines :</w:t>
      </w:r>
    </w:p>
    <w:p>
      <w:pPr>
        <w:pStyle w:val="ListParagraph"/>
        <w:numPr>
          <w:ilvl w:val="0"/>
          <w:numId w:val="1"/>
        </w:numPr>
        <w:spacing w:after="40" w:before="40"/>
      </w:pPr>
      <w:r>
        <w:rPr>
          <w:rFonts w:ascii="Times New Roman" w:cs="Times New Roman" w:eastAsia="Times New Roman" w:hAnsi="Times New Roman"/>
          <w:color w:val="1F2937"/>
          <w:sz w:val="22"/>
          <w:szCs w:val="22"/>
        </w:rPr>
        <w:t xml:space="preserve">La HAS note de cadrage (avril 2026) signale que la durée de psychose non traitée en France est de 18 mois à 2 ans</w:t>
      </w:r>
    </w:p>
    <w:p>
      <w:pPr>
        <w:pStyle w:val="ListParagraph"/>
        <w:numPr>
          <w:ilvl w:val="0"/>
          <w:numId w:val="1"/>
        </w:numPr>
        <w:spacing w:after="40" w:before="40"/>
      </w:pPr>
      <w:r>
        <w:rPr>
          <w:rFonts w:ascii="Times New Roman" w:cs="Times New Roman" w:eastAsia="Times New Roman" w:hAnsi="Times New Roman"/>
          <w:color w:val="1F2937"/>
          <w:sz w:val="22"/>
          <w:szCs w:val="22"/>
        </w:rPr>
        <w:t xml:space="preserve">Chaque semaine sans prise en charge est une semaine de souffrance non soulagée et de risque d'aggravation</w:t>
      </w:r>
    </w:p>
    <w:p>
      <w:pPr>
        <w:pStyle w:val="ListParagraph"/>
        <w:numPr>
          <w:ilvl w:val="0"/>
          <w:numId w:val="1"/>
        </w:numPr>
        <w:spacing w:after="40" w:before="40"/>
      </w:pPr>
      <w:r>
        <w:rPr>
          <w:rFonts w:ascii="Times New Roman" w:cs="Times New Roman" w:eastAsia="Times New Roman" w:hAnsi="Times New Roman"/>
          <w:color w:val="1F2937"/>
          <w:sz w:val="22"/>
          <w:szCs w:val="22"/>
        </w:rPr>
        <w:t xml:space="preserve">Le foyer d'hébergement est potentiellement le premier lieu où des signaux sont observés — les professionnels éducatifs ont une responsabilité d'alerte</w:t>
      </w:r>
    </w:p>
    <w:p>
      <w:pPr>
        <w:spacing w:after="60" w:before="60"/>
      </w:pPr>
      <w:r>
        <w:rPr>
          <w:rFonts w:ascii="Times New Roman" w:cs="Times New Roman" w:eastAsia="Times New Roman" w:hAnsi="Times New Roman"/>
          <w:b/>
          <w:bCs/>
          <w:color w:val="1F2937"/>
          <w:sz w:val="22"/>
          <w:szCs w:val="22"/>
        </w:rPr>
        <w:t xml:space="preserve">3. Étapes concrètes :</w:t>
      </w:r>
    </w:p>
    <w:p>
      <w:pPr>
        <w:pStyle w:val="ListParagraph"/>
        <w:numPr>
          <w:ilvl w:val="0"/>
          <w:numId w:val="1"/>
        </w:numPr>
        <w:spacing w:after="40" w:before="40"/>
      </w:pPr>
      <w:r>
        <w:rPr>
          <w:rFonts w:ascii="Times New Roman" w:cs="Times New Roman" w:eastAsia="Times New Roman" w:hAnsi="Times New Roman"/>
          <w:color w:val="1F2937"/>
          <w:sz w:val="22"/>
          <w:szCs w:val="22"/>
        </w:rPr>
        <w:t xml:space="preserve">Consigner par écrit les observations (dates, comportements précis, citations) dans le dossier de l'usager (DUI)</w:t>
      </w:r>
    </w:p>
    <w:p>
      <w:pPr>
        <w:pStyle w:val="ListParagraph"/>
        <w:numPr>
          <w:ilvl w:val="0"/>
          <w:numId w:val="1"/>
        </w:numPr>
        <w:spacing w:after="40" w:before="40"/>
      </w:pPr>
      <w:r>
        <w:rPr>
          <w:rFonts w:ascii="Times New Roman" w:cs="Times New Roman" w:eastAsia="Times New Roman" w:hAnsi="Times New Roman"/>
          <w:color w:val="1F2937"/>
          <w:sz w:val="22"/>
          <w:szCs w:val="22"/>
        </w:rPr>
        <w:t xml:space="preserve">En référer au cadre de proximité ou chef de service si on est AES/ME/ES</w:t>
      </w:r>
    </w:p>
    <w:p>
      <w:pPr>
        <w:pStyle w:val="ListParagraph"/>
        <w:numPr>
          <w:ilvl w:val="0"/>
          <w:numId w:val="1"/>
        </w:numPr>
        <w:spacing w:after="40" w:before="40"/>
      </w:pPr>
      <w:r>
        <w:rPr>
          <w:rFonts w:ascii="Times New Roman" w:cs="Times New Roman" w:eastAsia="Times New Roman" w:hAnsi="Times New Roman"/>
          <w:color w:val="1F2937"/>
          <w:sz w:val="22"/>
          <w:szCs w:val="22"/>
        </w:rPr>
        <w:t xml:space="preserve">Contacter le médecin coordinateur ou le psychiatre référent du foyer</w:t>
      </w:r>
    </w:p>
    <w:p>
      <w:pPr>
        <w:pStyle w:val="ListParagraph"/>
        <w:numPr>
          <w:ilvl w:val="0"/>
          <w:numId w:val="1"/>
        </w:numPr>
        <w:spacing w:after="40" w:before="40"/>
      </w:pPr>
      <w:r>
        <w:rPr>
          <w:rFonts w:ascii="Times New Roman" w:cs="Times New Roman" w:eastAsia="Times New Roman" w:hAnsi="Times New Roman"/>
          <w:color w:val="1F2937"/>
          <w:sz w:val="22"/>
          <w:szCs w:val="22"/>
        </w:rPr>
        <w:t xml:space="preserve">Associer la famille (avec accord de la personne) si possible</w:t>
      </w:r>
    </w:p>
    <w:p>
      <w:pPr>
        <w:pStyle w:val="ListParagraph"/>
        <w:numPr>
          <w:ilvl w:val="0"/>
          <w:numId w:val="1"/>
        </w:numPr>
        <w:spacing w:after="40" w:before="40"/>
      </w:pPr>
      <w:r>
        <w:rPr>
          <w:rFonts w:ascii="Times New Roman" w:cs="Times New Roman" w:eastAsia="Times New Roman" w:hAnsi="Times New Roman"/>
          <w:color w:val="1F2937"/>
          <w:sz w:val="22"/>
          <w:szCs w:val="22"/>
        </w:rPr>
        <w:t xml:space="preserve">Maintenir le lien et la relation de confiance avec Arnaud sans confrontation sur ses idées</w:t>
      </w:r>
    </w:p>
    <w:p>
      <w:pPr>
        <w:spacing w:after="60" w:before="60"/>
      </w:pPr>
      <w:r>
        <w:rPr>
          <w:rFonts w:ascii="Times New Roman" w:cs="Times New Roman" w:eastAsia="Times New Roman" w:hAnsi="Times New Roman"/>
          <w:b/>
          <w:bCs/>
          <w:color w:val="1F2937"/>
          <w:sz w:val="22"/>
          <w:szCs w:val="22"/>
        </w:rPr>
        <w:t xml:space="preserve">4. Points éthiques :</w:t>
      </w:r>
    </w:p>
    <w:p>
      <w:pPr>
        <w:pStyle w:val="ListParagraph"/>
        <w:numPr>
          <w:ilvl w:val="0"/>
          <w:numId w:val="1"/>
        </w:numPr>
        <w:spacing w:after="40" w:before="40"/>
      </w:pPr>
      <w:r>
        <w:rPr>
          <w:rFonts w:ascii="Times New Roman" w:cs="Times New Roman" w:eastAsia="Times New Roman" w:hAnsi="Times New Roman"/>
          <w:color w:val="1F2937"/>
          <w:sz w:val="22"/>
          <w:szCs w:val="22"/>
        </w:rPr>
        <w:t xml:space="preserve">Respect de la confidentialité et du secret professionnel partagé (entre professionnels impliqués dans le suivi)</w:t>
      </w:r>
    </w:p>
    <w:p>
      <w:pPr>
        <w:pStyle w:val="ListParagraph"/>
        <w:numPr>
          <w:ilvl w:val="0"/>
          <w:numId w:val="1"/>
        </w:numPr>
        <w:spacing w:after="40" w:before="40"/>
      </w:pPr>
      <w:r>
        <w:rPr>
          <w:rFonts w:ascii="Times New Roman" w:cs="Times New Roman" w:eastAsia="Times New Roman" w:hAnsi="Times New Roman"/>
          <w:color w:val="1F2937"/>
          <w:sz w:val="22"/>
          <w:szCs w:val="22"/>
        </w:rPr>
        <w:t xml:space="preserve">Ne pas informer la personne que l'on « suspecte » quelque chose de façon brutale</w:t>
      </w:r>
    </w:p>
    <w:p>
      <w:pPr>
        <w:pStyle w:val="ListParagraph"/>
        <w:numPr>
          <w:ilvl w:val="0"/>
          <w:numId w:val="1"/>
        </w:numPr>
        <w:spacing w:after="40" w:before="40"/>
      </w:pPr>
      <w:r>
        <w:rPr>
          <w:rFonts w:ascii="Times New Roman" w:cs="Times New Roman" w:eastAsia="Times New Roman" w:hAnsi="Times New Roman"/>
          <w:color w:val="1F2937"/>
          <w:sz w:val="22"/>
          <w:szCs w:val="22"/>
        </w:rPr>
        <w:t xml:space="preserve">Posture non stigmatisante : les observations sont des signaux d'alerte, pas des verdicts</w:t>
      </w:r>
    </w:p>
    <w:p>
      <w:pPr>
        <w:pStyle w:val="ListParagraph"/>
        <w:numPr>
          <w:ilvl w:val="0"/>
          <w:numId w:val="1"/>
        </w:numPr>
        <w:spacing w:after="40" w:before="40"/>
      </w:pPr>
      <w:r>
        <w:rPr>
          <w:rFonts w:ascii="Times New Roman" w:cs="Times New Roman" w:eastAsia="Times New Roman" w:hAnsi="Times New Roman"/>
          <w:color w:val="1F2937"/>
          <w:sz w:val="22"/>
          <w:szCs w:val="22"/>
        </w:rPr>
        <w:t xml:space="preserve">Respecter l'autodétermination : Arnaud reste acteur de son parcours</w:t>
      </w:r>
    </w:p>
    <w:p>
      <w:pPr>
        <w:spacing w:after="120" w:before="120"/>
      </w:pPr>
      <w:r>
        <w:t xml:space="preserve"/>
      </w:r>
    </w:p>
    <w:p>
      <w:pPr>
        <w:pStyle w:val="Heading2"/>
        <w:spacing w:after="100" w:before="300"/>
      </w:pPr>
      <w:r>
        <w:rPr>
          <w:rFonts w:ascii="Times New Roman" w:cs="Times New Roman" w:eastAsia="Times New Roman" w:hAnsi="Times New Roman"/>
          <w:b/>
          <w:bCs/>
          <w:color w:val="1B3A6B"/>
          <w:sz w:val="30"/>
          <w:szCs w:val="30"/>
        </w:rPr>
        <w:t xml:space="preserve">🌉 Pont pro — Foyer d'hébergement et troubles psychotiques</w:t>
      </w:r>
    </w:p>
    <w:p>
      <w:pPr>
        <w:spacing w:after="60" w:before="60"/>
      </w:pPr>
      <w:r>
        <w:rPr>
          <w:rFonts w:ascii="Times New Roman" w:cs="Times New Roman" w:eastAsia="Times New Roman" w:hAnsi="Times New Roman"/>
          <w:color w:val="1F2937"/>
          <w:sz w:val="22"/>
          <w:szCs w:val="22"/>
        </w:rPr>
        <w:t xml:space="preserve">Les foyers d'hébergement accueillent une part significative de personnes avec un handicap psychique, dont beaucoup relèvent du spectre schizophrénique. Les professionnels éducatifs (AES, ME, ES) ne diagnostiquent pas, mais ils sont en contact quotidien et peuvent repérer des changements fonctionnels avant les soignants.</w:t>
      </w:r>
    </w:p>
    <w:p>
      <w:pPr>
        <w:spacing w:after="60" w:before="60"/>
      </w:pPr>
      <w:r>
        <w:rPr>
          <w:rFonts w:ascii="Times New Roman" w:cs="Times New Roman" w:eastAsia="Times New Roman" w:hAnsi="Times New Roman"/>
          <w:color w:val="1F2937"/>
          <w:sz w:val="22"/>
          <w:szCs w:val="22"/>
        </w:rPr>
        <w:t xml:space="preserve">Deux enjeux clés pour un chef de service en ESSMS :</w:t>
      </w:r>
    </w:p>
    <w:p>
      <w:pPr>
        <w:pStyle w:val="ListParagraph"/>
        <w:numPr>
          <w:ilvl w:val="0"/>
          <w:numId w:val="1"/>
        </w:numPr>
        <w:spacing w:after="40" w:before="40"/>
      </w:pPr>
      <w:r>
        <w:rPr>
          <w:rFonts w:ascii="Times New Roman" w:cs="Times New Roman" w:eastAsia="Times New Roman" w:hAnsi="Times New Roman"/>
          <w:color w:val="1F2937"/>
          <w:sz w:val="22"/>
          <w:szCs w:val="22"/>
        </w:rPr>
        <w:t xml:space="preserve">Former l'équipe au repérage des signes de décompensation (changement du fonctionnement habituel, retrait, discours inhabituel) sans alimenter la stigmatisation — un objectif directement lié aux RBPP HAS à venir sur les troubles schizophréniques.</w:t>
      </w:r>
    </w:p>
    <w:p>
      <w:pPr>
        <w:pStyle w:val="ListParagraph"/>
        <w:numPr>
          <w:ilvl w:val="0"/>
          <w:numId w:val="1"/>
        </w:numPr>
        <w:spacing w:after="40" w:before="40"/>
      </w:pPr>
      <w:r>
        <w:rPr>
          <w:rFonts w:ascii="Times New Roman" w:cs="Times New Roman" w:eastAsia="Times New Roman" w:hAnsi="Times New Roman"/>
          <w:color w:val="1F2937"/>
          <w:sz w:val="22"/>
          <w:szCs w:val="22"/>
        </w:rPr>
        <w:t xml:space="preserve">Organiser des temps de coordination pluridisciplinaire réguliers (équipe éducative + soignants + psychiatre référent) pour que les observations circulent et que les prises en charge soient ajustées à temps.</w:t>
      </w:r>
    </w:p>
    <w:p>
      <w:pPr>
        <w:spacing w:after="120" w:before="120"/>
      </w:pPr>
      <w:r>
        <w:t xml:space="preserve"/>
      </w:r>
    </w:p>
    <w:p>
      <w:pPr>
        <w:pStyle w:val="Heading2"/>
        <w:spacing w:after="100" w:before="300"/>
      </w:pPr>
      <w:r>
        <w:rPr>
          <w:rFonts w:ascii="Times New Roman" w:cs="Times New Roman" w:eastAsia="Times New Roman" w:hAnsi="Times New Roman"/>
          <w:b/>
          <w:bCs/>
          <w:color w:val="1B3A6B"/>
          <w:sz w:val="30"/>
          <w:szCs w:val="30"/>
        </w:rPr>
        <w:t xml:space="preserve">📚 Ressources cliquables pour approfondir</w:t>
      </w:r>
    </w:p>
    <w:p>
      <w:pPr>
        <w:pStyle w:val="ListParagraph"/>
        <w:numPr>
          <w:ilvl w:val="0"/>
          <w:numId w:val="1"/>
        </w:numPr>
        <w:spacing w:after="40" w:before="40"/>
      </w:pPr>
      <w:hyperlink w:history="1" r:id="rIdwxraur5wbk4yr1ffe6jsl">
        <w:r>
          <w:rPr>
            <w:rFonts w:ascii="Times New Roman" w:cs="Times New Roman" w:eastAsia="Times New Roman" w:hAnsi="Times New Roman"/>
            <w:color w:val="1155CC"/>
            <w:sz w:val="22"/>
            <w:szCs w:val="22"/>
            <w:u w:val="single"/>
          </w:rPr>
          <w:t xml:space="preserve">Psycom.org — Troubles schizophréniques (FR, grand public et professionnel)</w:t>
        </w:r>
      </w:hyperlink>
    </w:p>
    <w:p>
      <w:pPr>
        <w:pStyle w:val="ListParagraph"/>
        <w:numPr>
          <w:ilvl w:val="0"/>
          <w:numId w:val="1"/>
        </w:numPr>
        <w:spacing w:after="40" w:before="40"/>
      </w:pPr>
      <w:hyperlink w:history="1" r:id="rIdb6un6r0edmb6tumvesfce">
        <w:r>
          <w:rPr>
            <w:rFonts w:ascii="Times New Roman" w:cs="Times New Roman" w:eastAsia="Times New Roman" w:hAnsi="Times New Roman"/>
            <w:color w:val="1155CC"/>
            <w:sz w:val="22"/>
            <w:szCs w:val="22"/>
            <w:u w:val="single"/>
          </w:rPr>
          <w:t xml:space="preserve">Wikipedia FR — Schizophrénie (vue d'ensemble clinique)</w:t>
        </w:r>
      </w:hyperlink>
    </w:p>
    <w:p>
      <w:pPr>
        <w:pStyle w:val="ListParagraph"/>
        <w:numPr>
          <w:ilvl w:val="0"/>
          <w:numId w:val="1"/>
        </w:numPr>
        <w:spacing w:after="40" w:before="40"/>
      </w:pPr>
      <w:hyperlink w:history="1" r:id="rIdooojxlwuhibr3tjqsfuyb">
        <w:r>
          <w:rPr>
            <w:rFonts w:ascii="Times New Roman" w:cs="Times New Roman" w:eastAsia="Times New Roman" w:hAnsi="Times New Roman"/>
            <w:color w:val="1155CC"/>
            <w:sz w:val="22"/>
            <w:szCs w:val="22"/>
            <w:u w:val="single"/>
          </w:rPr>
          <w:t xml:space="preserve">HAS — Diagnostic et évaluation des troubles schizophréniques : Note de cadrage (avril 2026)</w:t>
        </w:r>
      </w:hyperlink>
    </w:p>
    <w:p>
      <w:pPr>
        <w:pStyle w:val="ListParagraph"/>
        <w:numPr>
          <w:ilvl w:val="0"/>
          <w:numId w:val="1"/>
        </w:numPr>
        <w:spacing w:after="40" w:before="40"/>
      </w:pPr>
      <w:hyperlink w:history="1" r:id="rIdvdxcmfhnkkleibwyixbty">
        <w:r>
          <w:rPr>
            <w:rFonts w:ascii="Times New Roman" w:cs="Times New Roman" w:eastAsia="Times New Roman" w:hAnsi="Times New Roman"/>
            <w:color w:val="1155CC"/>
            <w:sz w:val="22"/>
            <w:szCs w:val="22"/>
            <w:u w:val="single"/>
          </w:rPr>
          <w:t xml:space="preserve">Merck Manual Professional (FR) — Schizophrénie et troubles apparentés</w:t>
        </w:r>
      </w:hyperlink>
    </w:p>
    <w:p>
      <w:pPr>
        <w:pStyle w:val="ListParagraph"/>
        <w:numPr>
          <w:ilvl w:val="0"/>
          <w:numId w:val="1"/>
        </w:numPr>
        <w:spacing w:after="40" w:before="40"/>
      </w:pPr>
      <w:hyperlink w:history="1" r:id="rId-3_nssscfuesiplvb_oj-">
        <w:r>
          <w:rPr>
            <w:rFonts w:ascii="Times New Roman" w:cs="Times New Roman" w:eastAsia="Times New Roman" w:hAnsi="Times New Roman"/>
            <w:color w:val="1155CC"/>
            <w:sz w:val="22"/>
            <w:szCs w:val="22"/>
            <w:u w:val="single"/>
          </w:rPr>
          <w:t xml:space="preserve">Wikipedia EN — Psychosis (concepts généraux, étiologies)</w:t>
        </w:r>
      </w:hyperlink>
    </w:p>
    <w:p>
      <w:pPr>
        <w:pStyle w:val="ListParagraph"/>
        <w:numPr>
          <w:ilvl w:val="0"/>
          <w:numId w:val="1"/>
        </w:numPr>
        <w:spacing w:after="40" w:before="40"/>
      </w:pPr>
      <w:hyperlink w:history="1" r:id="rIdapgrkeqewjwwdhl-bgpbv">
        <w:r>
          <w:rPr>
            <w:rFonts w:ascii="Times New Roman" w:cs="Times New Roman" w:eastAsia="Times New Roman" w:hAnsi="Times New Roman"/>
            <w:color w:val="1155CC"/>
            <w:sz w:val="22"/>
            <w:szCs w:val="22"/>
            <w:u w:val="single"/>
          </w:rPr>
          <w:t xml:space="preserve">Wikipedia EN — Schizophrenia (données épidémiologiques et cliniques)</w:t>
        </w:r>
      </w:hyperlink>
    </w:p>
    <w:p>
      <w:pPr>
        <w:pStyle w:val="ListParagraph"/>
        <w:numPr>
          <w:ilvl w:val="0"/>
          <w:numId w:val="1"/>
        </w:numPr>
        <w:spacing w:after="40" w:before="40"/>
      </w:pPr>
      <w:hyperlink w:history="1" r:id="rIdhwfhzjcve2v0u0adypsvd">
        <w:r>
          <w:rPr>
            <w:rFonts w:ascii="Times New Roman" w:cs="Times New Roman" w:eastAsia="Times New Roman" w:hAnsi="Times New Roman"/>
            <w:color w:val="1155CC"/>
            <w:sz w:val="22"/>
            <w:szCs w:val="22"/>
            <w:u w:val="single"/>
          </w:rPr>
          <w:t xml:space="preserve">HAS — Programme Santé mentale et psychiatrie 2025-2030</w:t>
        </w:r>
      </w:hyperlink>
    </w:p>
    <w:p>
      <w:pPr>
        <w:pStyle w:val="ListParagraph"/>
        <w:numPr>
          <w:ilvl w:val="0"/>
          <w:numId w:val="1"/>
        </w:numPr>
        <w:spacing w:after="40" w:before="40"/>
      </w:pPr>
      <w:hyperlink w:history="1" r:id="rIddsmapa20260911">
        <w:r>
          <w:rPr>
            <w:rFonts w:ascii="Times New Roman" w:cs="Times New Roman" w:eastAsia="Times New Roman" w:hAnsi="Times New Roman"/>
            <w:color w:val="1155CC"/>
            <w:sz w:val="22"/>
            <w:szCs w:val="22"/>
            <w:u w:val="single"/>
          </w:rPr>
          <w:t xml:space="preserve">DSM-5-TR (American Psychiatric Association) — page officielle du manuel</w:t>
        </w:r>
      </w:hyperlink>
      <w:r>
        <w:rPr>
          <w:rFonts w:ascii="Times New Roman" w:cs="Times New Roman" w:eastAsia="Times New Roman" w:hAnsi="Times New Roman"/>
          <w:color w:val="1F2937"/>
          <w:sz w:val="22"/>
          <w:szCs w:val="22"/>
        </w:rPr>
        <w:t xml:space="preserve"> — l'éditeur du DSM, qui décrit le manuel, ses révisions et la différence entre DSM-5 et DSM-5-TR. Vérifiée le 11/09/2026 : HTTP 200, 21 859 caractères utiles, « DSM-5-TR » y figure 19 fois. AJOUTÉE LE 11/09/2026 : cette classification était nommée dans le corps de la leçon sans aucune adresse.</w:t>
      </w:r>
    </w:p>
    <w:p>
      <w:pPr>
        <w:spacing w:after="120" w:before="120"/>
      </w:pPr>
      <w:r>
        <w:t xml:space="preserve"/>
      </w:r>
    </w:p>
    <w:p>
      <w:pPr>
        <w:pStyle w:val="Heading2"/>
        <w:spacing w:after="100" w:before="300"/>
      </w:pPr>
      <w:r>
        <w:rPr>
          <w:rFonts w:ascii="Times New Roman" w:cs="Times New Roman" w:eastAsia="Times New Roman" w:hAnsi="Times New Roman"/>
          <w:b/>
          <w:bCs/>
          <w:color w:val="1B3A6B"/>
          <w:sz w:val="30"/>
          <w:szCs w:val="30"/>
        </w:rPr>
        <w:t xml:space="preserve">🔜 Prochaine leçon</w:t>
      </w:r>
    </w:p>
    <w:p>
      <w:pPr>
        <w:spacing w:after="60" w:before="60"/>
      </w:pPr>
      <w:r>
        <w:rPr>
          <w:rFonts w:ascii="Times New Roman" w:cs="Times New Roman" w:eastAsia="Times New Roman" w:hAnsi="Times New Roman"/>
          <w:color w:val="1F2937"/>
          <w:sz w:val="22"/>
          <w:szCs w:val="22"/>
        </w:rPr>
        <w:t xml:space="preserve">Leçon n°8 — Les troubles de la personnalité : clusters A, B, C et personnalité borderline en particulier</w:t>
      </w:r>
    </w:p>
    <w:p>
      <w:pPr>
        <w:spacing w:after="60" w:before="60"/>
      </w:pPr>
      <w:r>
        <w:rPr>
          <w:rFonts w:ascii="Times New Roman" w:cs="Times New Roman" w:eastAsia="Times New Roman" w:hAnsi="Times New Roman"/>
          <w:color w:val="1F2937"/>
          <w:sz w:val="22"/>
          <w:szCs w:val="22"/>
        </w:rPr>
        <w:t xml:space="preserve">Tu exploreras la définition du trouble de la personnalité, sa distinction avec les états psychotiques, et la spécificité du trouble borderline (état-limite) — avec ses implications pratiques en matière de gestion des crises et d'alliance thérapeutique.</w:t>
      </w:r>
    </w:p>
    <w:p>
      <w:pPr>
        <w:pBdr>
          <w:bottom w:val="single" w:color="1B3A6B" w:sz="6"/>
        </w:pBdr>
        <w:spacing w:after="120" w:before="360"/>
      </w:pPr>
      <w:r>
        <w:rPr>
          <w:rFonts w:ascii="Times New Roman" w:cs="Times New Roman" w:eastAsia="Times New Roman" w:hAnsi="Times New Roman"/>
          <w:b/>
          <w:bCs/>
          <w:color w:val="1B3A6B"/>
          <w:sz w:val="30"/>
          <w:szCs w:val="30"/>
        </w:rPr>
        <w:t xml:space="preserve">📝 Journal des corrections — 6 septembre 2026</w:t>
      </w:r>
    </w:p>
    <w:p>
      <w:pPr>
        <w:spacing w:after="80"/>
      </w:pPr>
      <w:r>
        <w:rPr>
          <w:rFonts w:ascii="Times New Roman" w:cs="Times New Roman" w:eastAsia="Times New Roman" w:hAnsi="Times New Roman"/>
          <w:b/>
          <w:bCs/>
          <w:i/>
          <w:iCs/>
          <w:color w:val="1F2937"/>
          <w:sz w:val="22"/>
          <w:szCs w:val="22"/>
        </w:rPr>
        <w:t xml:space="preserve">Leçon produite le 27/07/2026, relue le 06/09/2026 : les sept URL répondent 200 et chaque source a été rouverte, dont les deux pages de la HAS, qui délivrent bien leur contenu. Huit corrections, toutes de même nature : aucun chiffre n’était inventé, chacun avait bougé de ce qu’il compte ou de ses bornes.</w:t>
      </w:r>
    </w:p>
    <w:p>
      <w:pPr>
        <w:spacing w:after="80"/>
      </w:pPr>
      <w:r>
        <w:rPr>
          <w:rFonts w:ascii="Times New Roman" w:cs="Times New Roman" w:eastAsia="Times New Roman" w:hAnsi="Times New Roman"/>
          <w:color w:val="1F2937"/>
          <w:sz w:val="22"/>
          <w:szCs w:val="22"/>
        </w:rPr>
        <w:t xml:space="preserve">① Les 80 % rattachés aux seules hallucinations auditives. Version d’origine : « Les hallucinations auditives (entendre des voix) sont les plus fréquentes dans la schizophrénie — présentes chez environ 80 % des patients ». La source écrit : « Hallucinations occur at some point in the lifetimes of 80% of those with schizophrenia […] and most commonly involve the sense of hearing ». Le pourcentage porte sur les hallucinations TOUTES MODALITÉS ; l’auditif en est la modalité dominante. Un chiffre juste, accroché à un sous-ensemble.</w:t>
      </w:r>
    </w:p>
    <w:p>
      <w:pPr>
        <w:spacing w:after="80"/>
      </w:pPr>
      <w:r>
        <w:rPr>
          <w:rFonts w:ascii="Times New Roman" w:cs="Times New Roman" w:eastAsia="Times New Roman" w:hAnsi="Times New Roman"/>
          <w:color w:val="1F2937"/>
          <w:sz w:val="22"/>
          <w:szCs w:val="22"/>
        </w:rPr>
        <w:t xml:space="preserve">② Trois bornes déplacées, toutes dans le sens qui durcit. « Jusqu’à 40 % ont un mauvais pronostic » (Merck) était devenu « Environ 40 % » : un plafond transformé en valeur centrale. « Guérissent, avec un retour complet ou quasi complet de la fonction » était devenu « récupération complète » : le qualificatif supprimé. Et pour le suicide, la page Merck donne DEUX valeurs — « Environ 4 à 10 % » dans la section Risque de suicide, « Jusqu’à 10 % » dans le résumé du pronostic ; la leçon ne retenait que la seconde, sans signaler la discordance interne de sa source. Les trois passages portent désormais les formulations de la source.</w:t>
      </w:r>
    </w:p>
    <w:p>
      <w:pPr>
        <w:spacing w:after="80"/>
      </w:pPr>
      <w:r>
        <w:rPr>
          <w:rFonts w:ascii="Times New Roman" w:cs="Times New Roman" w:eastAsia="Times New Roman" w:hAnsi="Times New Roman"/>
          <w:color w:val="1F2937"/>
          <w:sz w:val="22"/>
          <w:szCs w:val="22"/>
        </w:rPr>
        <w:t xml:space="preserve">③ Deux citations en anglais attribuées à une page consultée en français. « Worldwide, the lifetime prevalence of schizophrenia is approximately 0.7% » et « Up to 10% die by suicide » étaient attribuées au Merck Manual, dont l’URL citée en ressources est la version FRANÇAISE : elle écrit « Dans le monde, la prévalence à vie de la schizophrénie est d’environ 0,7% » et « Jusqu’à 10 % meurent par suicide ». Les chiffres étaient exacts ; les guillemets encadraient un texte absent de la page citée.</w:t>
      </w:r>
    </w:p>
    <w:p>
      <w:pPr>
        <w:spacing w:after="80"/>
      </w:pPr>
      <w:r>
        <w:rPr>
          <w:rFonts w:ascii="Times New Roman" w:cs="Times New Roman" w:eastAsia="Times New Roman" w:hAnsi="Times New Roman"/>
          <w:color w:val="1F2937"/>
          <w:sz w:val="22"/>
          <w:szCs w:val="22"/>
        </w:rPr>
        <w:t xml:space="preserve">④ Un mot changé à l’intérieur d’une citation de la HAS. Version d’origine : « environ 23 millions de personnes MONDIALEMENT, soit un adulte sur 233 (0,43 %) ». La note de cadrage écrit : « toucheraient environ 23 millions de personnes DANS LE MONDE, soit un adulte sur 233 (0,43 %) ». Un mot substitué et un conditionnel rendu à l’affirmatif. La date est en revanche exacte : la note a été validée le 8 avril 2026 et mise en ligne le 21 avril.</w:t>
      </w:r>
    </w:p>
    <w:p>
      <w:pPr>
        <w:spacing w:after="80"/>
      </w:pPr>
      <w:r>
        <w:rPr>
          <w:rFonts w:ascii="Times New Roman" w:cs="Times New Roman" w:eastAsia="Times New Roman" w:hAnsi="Times New Roman"/>
          <w:color w:val="1F2937"/>
          <w:sz w:val="22"/>
          <w:szCs w:val="22"/>
        </w:rPr>
        <w:t xml:space="preserve">⑤ Trois prévalences alignées comme si elles mesuraient la même chose. Le 0,43 % de l’OMS est un effectif de personnes actuellement touchées ; le 0,7 % du Merck Manual et la fourchette 0,3–0,72 % de Wikipédia sont des prévalences SUR LA VIE ENTIÈRE, ce que les deux sources écrivent. L’écart entre 0,43 % et 0,7 % ne traduisait donc aucun désaccord entre sources — il traduisait deux mesures différentes présentées côte à côte. Une note l’explique désormais sous la liste.</w:t>
      </w:r>
    </w:p>
    <w:p>
      <w:pPr>
        <w:spacing w:after="80"/>
      </w:pPr>
      <w:r>
        <w:rPr>
          <w:rFonts w:ascii="Times New Roman" w:cs="Times New Roman" w:eastAsia="Times New Roman" w:hAnsi="Times New Roman"/>
          <w:color w:val="1F2937"/>
          <w:sz w:val="22"/>
          <w:szCs w:val="22"/>
        </w:rPr>
        <w:t xml:space="preserve">⑥ La citation de Wikipédia s’arrêtait exactement là où elle bascule. Version d’origine : « about half of those diagnosed with schizophrenia will experience a marked improvement over the long term with no further relapses ». La phrase continue : « and a small proportion of these will recover completely. The other half will have a lifelong impairment. » La moitié défavorable disparaissait, et la leçon enchaînait sur l’importance d’une prise en charge précoce. La phrase entière est rétablie — et, lue en entier, elle ne contredit pas le Merck Manual : « amélioration marquée » et « guérison » ne sont pas la même chose, ce qui explique l’écart apparent entre « la moitié » et « 15 à 25 % ».</w:t>
      </w:r>
    </w:p>
    <w:p>
      <w:pPr>
        <w:spacing w:after="80"/>
      </w:pPr>
      <w:r>
        <w:rPr>
          <w:rFonts w:ascii="Times New Roman" w:cs="Times New Roman" w:eastAsia="Times New Roman" w:hAnsi="Times New Roman"/>
          <w:color w:val="1F2937"/>
          <w:sz w:val="22"/>
          <w:szCs w:val="22"/>
        </w:rPr>
        <w:t xml:space="preserve">⑦ Coquille : « Le facteur déclenchant stressant est compatibles » → « est compatible ».</w:t>
      </w:r>
    </w:p>
    <w:p>
      <w:pPr>
        <w:spacing w:after="80"/>
      </w:pPr>
      <w:r>
        <w:rPr>
          <w:rFonts w:ascii="Times New Roman" w:cs="Times New Roman" w:eastAsia="Times New Roman" w:hAnsi="Times New Roman"/>
          <w:color w:val="1F2937"/>
          <w:sz w:val="22"/>
          <w:szCs w:val="22"/>
        </w:rPr>
        <w:t xml:space="preserve">Vérifié lors de la relecture et inchangé — c’est la leçon la mieux sourcée du parcours relue à ce jour. Les sept URL sont en 200. La définition de Wikipédia FR est citée MOT POUR MOT. La citation de la HAS sur la durée de psychose non traitée — 18 mois à 2 ans en France — est fidèle. Les 70 % de déficits cognitifs sont exacts, comme la prévalence à vie de 0,7 %, la fourchette 15 à 25 %, le « environ un tiers » et la réduction d’espérance de vie d’environ 15 ans. Les trois corrigés d’exercice sont cohérents avec la théorie. Le tableau des troubles apparentés et leurs durées minimales sont conformes. Deux synthèses issues de Wikipédia portent spontanément la mention « (synthèse, non citation directe) ». Et la section « Prochaine leçon » annonçait bien les troubles de la personnalité, thème effectivement traité en leçon 08 : le rendez-vous a été tenu.</w:t>
      </w:r>
    </w:p>
    <w:p>
      <w:pPr>
        <w:spacing w:after="80"/>
      </w:pPr>
      <w:r>
        <w:rPr>
          <w:rFonts w:ascii="Times New Roman" w:cs="Times New Roman" w:eastAsia="Times New Roman" w:hAnsi="Times New Roman"/>
          <w:color w:val="1F2937"/>
          <w:sz w:val="22"/>
          <w:szCs w:val="22"/>
        </w:rPr>
        <w:t xml:space="preserve">Le pont professionnel n’a pas été touché, et mérite d’être signalé : il parle des « RBPP HAS À VENIR sur les troubles schizophréniques ». C’est exact, c’est adossé à la note de cadrage citée et vérifiée, et cela n’invente aucune recommandation publiée. C’est la bonne façon de mentionner un travail de la HAS qui n’est pas encore sorti.</w:t>
      </w:r>
    </w:p>
    <w:p>
      <w:pPr>
        <w:pBdr>
          <w:bottom w:val="single" w:color="1B3A6B" w:sz="6"/>
        </w:pBdr>
        <w:spacing w:after="120" w:before="360"/>
      </w:pPr>
      <w:r>
        <w:rPr>
          <w:rFonts w:ascii="Times New Roman" w:cs="Times New Roman" w:eastAsia="Times New Roman" w:hAnsi="Times New Roman"/>
          <w:b/>
          <w:bCs/>
          <w:color w:val="1B3A6B"/>
          <w:sz w:val="30"/>
          <w:szCs w:val="30"/>
        </w:rPr>
        <w:t xml:space="preserve">📝 Journal des corrections — 11 septembre 2026</w:t>
      </w:r>
    </w:p>
    <w:p>
      <w:pPr>
        <w:pStyle w:val="ListParagraph"/>
        <w:numPr>
          <w:ilvl w:val="0"/>
          <w:numId w:val="1"/>
        </w:numPr>
        <w:spacing w:after="40" w:before="40"/>
      </w:pPr>
      <w:r>
        <w:rPr>
          <w:rFonts w:ascii="Times New Roman" w:cs="Times New Roman" w:eastAsia="Times New Roman" w:hAnsi="Times New Roman"/>
          <w:b/>
          <w:bCs/>
          <w:color w:val="1F2937"/>
          <w:sz w:val="22"/>
          <w:szCs w:val="22"/>
        </w:rPr>
        <w:t xml:space="preserve">Relue le 11/09/2026 par le test d'attribution des pages, passé sur les 135 leçons du dépôt. UNE correction.</w:t>
      </w:r>
    </w:p>
    <w:p>
      <w:pPr>
        <w:pStyle w:val="ListParagraph"/>
        <w:numPr>
          <w:ilvl w:val="0"/>
          <w:numId w:val="1"/>
        </w:numPr>
        <w:spacing w:after="40" w:before="40"/>
      </w:pPr>
      <w:r>
        <w:rPr>
          <w:rFonts w:ascii="Times New Roman" w:cs="Times New Roman" w:eastAsia="Times New Roman" w:hAnsi="Times New Roman"/>
          <w:color w:val="1F2937"/>
          <w:sz w:val="22"/>
          <w:szCs w:val="22"/>
        </w:rPr>
        <w:t xml:space="preserve">① Une nosographie était nommée sans adresse. Cette leçon invoque DSM-5 / DSM-5-TR dans son corps sans qu'aucune adresse ne figure dans ses ressources. Ce sont pourtant les instruments qui fondent ses catégories : un lecteur voulant savoir laquelle des deux classifications dit quoi — et elles divergent, notamment sur les troubles de la personnalité — devait la chercher lui-même. Le défaut est répandu dans le parcours : HUIT leçons sur quinze nommaient au moins une nosographie sans adresse — DSM-5-TR dans cinq, CIM-11 dans trois, CIM-10 dans deux, DSM-5 dans deux.</w:t>
      </w:r>
    </w:p>
    <w:p>
      <w:pPr>
        <w:pStyle w:val="ListParagraph"/>
        <w:numPr>
          <w:ilvl w:val="0"/>
          <w:numId w:val="1"/>
        </w:numPr>
        <w:spacing w:after="40" w:before="40"/>
      </w:pPr>
      <w:r>
        <w:rPr>
          <w:rFonts w:ascii="Times New Roman" w:cs="Times New Roman" w:eastAsia="Times New Roman" w:hAnsi="Times New Roman"/>
          <w:color w:val="1F2937"/>
          <w:sz w:val="22"/>
          <w:szCs w:val="22"/>
        </w:rPr>
        <w:t xml:space="preserve">À ne pas confondre avec les quatre leçons — 02, 05, 09 et 11 — qui nommaient déjà leur classification dans le LIBELLÉ d'une ressource, à côté du lien : celles-là n'avaient aucun défaut et n'ont pas été touchées. Une première version de ce contrôle les avait signalées à tort, parce qu'elle ne cherchait le nom de la nosographie que dans l'URL — or ni icd.who.int/fr ni l'adresse de l'APA ne contiennent la chaîne cherchée. Le contrôle regarde désormais tout le texte de la section Ressources.</w:t>
      </w:r>
    </w:p>
    <w:p>
      <w:pPr>
        <w:pStyle w:val="ListParagraph"/>
        <w:numPr>
          <w:ilvl w:val="0"/>
          <w:numId w:val="1"/>
        </w:numPr>
        <w:spacing w:after="40" w:before="40"/>
      </w:pPr>
      <w:r>
        <w:rPr>
          <w:rFonts w:ascii="Times New Roman" w:cs="Times New Roman" w:eastAsia="Times New Roman" w:hAnsi="Times New Roman"/>
          <w:color w:val="1F2937"/>
          <w:sz w:val="22"/>
          <w:szCs w:val="22"/>
        </w:rPr>
        <w:t xml:space="preserve">Ce qui a été fait. Les adresses officielles sont ajoutées, testées le 11/09/2026 : icd.who.int/fr pour la CIM-11, icd.who.int/browse10/2019/en pour la CIM-10 (3 612 caractères utiles), psychiatry.org/psychiatrists/practice/dsm pour le DSM (21 859 caractères, où « DSM-5-TR » figure dix-neuf fois). Une réserve écrite plutôt que tue : le navigateur de la CIM-11 est une application rendue côté client, qui ne sert que 808 caractères au téléchargement direct — elle donne accès à la classification, elle ne se cite pas comme une page de contenu.</w:t>
      </w:r>
    </w:p>
    <w:p>
      <w:pPr>
        <w:spacing w:after="80"/>
      </w:pPr>
      <w:r>
        <w:rPr>
          <w:rFonts w:ascii="Times New Roman" w:cs="Times New Roman" w:eastAsia="Times New Roman" w:hAnsi="Times New Roman"/>
          <w:color w:val="1F2937"/>
          <w:sz w:val="22"/>
          <w:szCs w:val="22"/>
        </w:rPr>
        <w:t xml:space="preserve">Ce que cette relecture apprend, et qui vaut pour tout le parcours : les huit défauts se ramènent à un seul geste. Un chiffre exact change de ce qu’il compte, ou perd une de ses bornes. « Jusqu’à » devient « environ », une fourchette devient son maximum, un pourcentage glisse vers un sous-ensemble, une citation s’arrête avant sa seconde moitié. Rien n’est inventé, et tout devient faux — d’une fausseté qu’aucune vérification de source ne détecte, puisque la source contient bien le chiffre.</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color w:val="1F2937"/>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wxraur5wbk4yr1ffe6jsl" Type="http://schemas.openxmlformats.org/officeDocument/2006/relationships/hyperlink" Target="https://www.psycom.org/sinformer/la-sante-mentale/les-troubles-psy/troubles-schizophreniques/" TargetMode="External"/><Relationship Id="rIdb6un6r0edmb6tumvesfce" Type="http://schemas.openxmlformats.org/officeDocument/2006/relationships/hyperlink" Target="https://fr.wikipedia.org/wiki/Schizophr%C3%A9nie" TargetMode="External"/><Relationship Id="rIdooojxlwuhibr3tjqsfuyb" Type="http://schemas.openxmlformats.org/officeDocument/2006/relationships/hyperlink" Target="https://www.has-sante.fr/jcms/p_3953998/fr/diagnostic-et-evaluation-des-troubles-schizophreniques-note-de-cadrage" TargetMode="External"/><Relationship Id="rIdvdxcmfhnkkleibwyixbty" Type="http://schemas.openxmlformats.org/officeDocument/2006/relationships/hyperlink" Target="https://www.msdmanuals.com/fr/professional/troubles-psychiatriques/schizophr%C3%A9nie-et-troubles-apparent%C3%A9s/schizophr%C3%A9nie" TargetMode="External"/><Relationship Id="rId-3_nssscfuesiplvb_oj-" Type="http://schemas.openxmlformats.org/officeDocument/2006/relationships/hyperlink" Target="https://en.wikipedia.org/wiki/Psychosis" TargetMode="External"/><Relationship Id="rIdapgrkeqewjwwdhl-bgpbv" Type="http://schemas.openxmlformats.org/officeDocument/2006/relationships/hyperlink" Target="https://en.wikipedia.org/wiki/Schizophrenia" TargetMode="External"/><Relationship Id="rIdhwfhzjcve2v0u0adypsvd" Type="http://schemas.openxmlformats.org/officeDocument/2006/relationships/hyperlink" Target="https://www.has-sante.fr/jcms/p_3590541/fr/la-has-adopte-son-nouveau-programme-sante-mentale-et-psychiatrie-2025-2030" TargetMode="External"/><Relationship Id="rId14" Type="http://schemas.openxmlformats.org/officeDocument/2006/relationships/fontTable" Target="fontTable.xml"/><Relationship Id="rIddsmapa20260911" Type="http://schemas.openxmlformats.org/officeDocument/2006/relationships/hyperlink" Target="https://www.psychiatry.org/psychiatrists/practice/dsm" TargetMode="Externa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Leçon Psychopathologie clinique n°7 — Les troubles psychotiques</dc:title>
  <dc:creator>Claude Code — Parcours Psychopathologie clinique</dc:creator>
  <dc:description>Leçon 7/16 du parcours d'apprentissage progressif en Psychopathologie clinique</dc:description>
  <cp:lastModifiedBy>Un-named</cp:lastModifiedBy>
  <cp:revision>1</cp:revision>
  <dcterms:created xsi:type="dcterms:W3CDTF">2026-07-27T06:09:54.655Z</dcterms:created>
  <dcterms:modified xsi:type="dcterms:W3CDTF">2026-07-27T06:09:54.668Z</dcterms:modified>
</cp:coreProperties>
</file>

<file path=docProps/custom.xml><?xml version="1.0" encoding="utf-8"?>
<Properties xmlns="http://schemas.openxmlformats.org/officeDocument/2006/custom-properties" xmlns:vt="http://schemas.openxmlformats.org/officeDocument/2006/docPropsVTypes"/>
</file>