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B3A6B"/>
          <w:sz w:val="52"/>
          <w:szCs w:val="52"/>
        </w:rPr>
        <w:t xml:space="preserve">Leçon Stoïcisme n°19</w:t>
      </w:r>
    </w:p>
    <w:p>
      <w:pPr>
        <w:spacing w:after="80"/>
        <w:jc w:val="center"/>
      </w:pPr>
      <w:r>
        <w:rPr>
          <w:rFonts w:ascii="Times New Roman" w:cs="Times New Roman" w:eastAsia="Times New Roman" w:hAnsi="Times New Roman"/>
          <w:b/>
          <w:bCs/>
          <w:color w:val="1B3A6B"/>
          <w:sz w:val="40"/>
          <w:szCs w:val="40"/>
        </w:rPr>
        <w:t xml:space="preserve">Les critiques du stoïcisme</w:t>
      </w:r>
    </w:p>
    <w:p>
      <w:pPr>
        <w:spacing w:after="60"/>
        <w:jc w:val="center"/>
      </w:pPr>
      <w:r>
        <w:rPr>
          <w:rFonts w:ascii="Times New Roman" w:cs="Times New Roman" w:eastAsia="Times New Roman" w:hAnsi="Times New Roman"/>
          <w:i/>
          <w:iCs/>
          <w:color w:val="1F2937"/>
          <w:sz w:val="28"/>
          <w:szCs w:val="28"/>
        </w:rPr>
        <w:t xml:space="preserve">Insensibilité, quiétisme, objections contemporaines</w:t>
      </w:r>
    </w:p>
    <w:p>
      <w:pPr>
        <w:spacing w:after="60"/>
        <w:jc w:val="center"/>
      </w:pPr>
      <w:r>
        <w:rPr>
          <w:rFonts w:ascii="Times New Roman" w:cs="Times New Roman" w:eastAsia="Times New Roman" w:hAnsi="Times New Roman"/>
          <w:color w:val="6B7280"/>
          <w:sz w:val="22"/>
          <w:szCs w:val="22"/>
        </w:rPr>
        <w:t xml:space="preserve">15 octobre 2026</w:t>
      </w:r>
    </w:p>
    <w:p>
      <w:pPr>
        <w:spacing w:after="240"/>
        <w:jc w:val="center"/>
      </w:pPr>
      <w:r>
        <w:rPr>
          <w:rFonts w:ascii="Times New Roman" w:cs="Times New Roman" w:eastAsia="Times New Roman" w:hAnsi="Times New Roman"/>
          <w:b/>
          <w:bCs/>
          <w:color w:val="6B7280"/>
          <w:sz w:val="22"/>
          <w:szCs w:val="22"/>
        </w:rPr>
        <w:t xml:space="preserve">Leçon 19 / 20</w:t>
      </w: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l'issue de cette leçon, tu sauras nommer les six principales familles d'objections adressées au stoïcisme, distinguer celles qui visent une caricature de celles qui touchent un point réel, et formuler des réponses honnêtes — sans esquiver ce qui résiste.</w:t>
      </w:r>
    </w:p>
    <w:p>
      <w:pPr>
        <w:spacing w:after="120"/>
      </w:pPr>
      <w:r>
        <w:rPr>
          <w:rFonts w:ascii="Times New Roman" w:cs="Times New Roman" w:eastAsia="Times New Roman" w:hAnsi="Times New Roman"/>
          <w:b w:val="false"/>
          <w:bCs w:val="false"/>
          <w:i w:val="false"/>
          <w:iCs w:val="false"/>
          <w:color w:val="1F2937"/>
          <w:sz w:val="22"/>
          <w:szCs w:val="22"/>
        </w:rPr>
        <w:t xml:space="preserve">Lien avec la leçon précédente : la leçon 18 avait exploré la filiation entre stoïcisme et thérapies cognitives (TCC, REBT). Avant de clore le parcours avec le bilan (leçon 20), il est nécessaire de faire face aux critiques les plus sérieuses — celles qui reviennent sur le terrain, dans les lectures, et dans la discussion philosophique.</w:t>
      </w: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Théorie (20 %) — Six familles de critiques</w:t>
      </w:r>
    </w:p>
    <w:p>
      <w:pPr>
        <w:spacing w:after="100" w:before="200"/>
      </w:pPr>
      <w:r>
        <w:rPr>
          <w:rFonts w:ascii="Times New Roman" w:cs="Times New Roman" w:eastAsia="Times New Roman" w:hAnsi="Times New Roman"/>
          <w:b/>
          <w:bCs/>
          <w:color w:val="1F2937"/>
          <w:sz w:val="26"/>
          <w:szCs w:val="26"/>
        </w:rPr>
        <w:t xml:space="preserve">1. L'accusation d'insensibilité : le malentendu le plus répandu</w:t>
      </w:r>
    </w:p>
    <w:p>
      <w:pPr>
        <w:spacing w:after="120"/>
      </w:pPr>
      <w:r>
        <w:rPr>
          <w:rFonts w:ascii="Times New Roman" w:cs="Times New Roman" w:eastAsia="Times New Roman" w:hAnsi="Times New Roman"/>
          <w:b w:val="false"/>
          <w:bCs w:val="false"/>
          <w:i w:val="false"/>
          <w:iCs w:val="false"/>
          <w:color w:val="1F2937"/>
          <w:sz w:val="22"/>
          <w:szCs w:val="22"/>
        </w:rPr>
        <w:t xml:space="preserve">C'est l'objection que l'on rencontre d'abord : le stoïcisme viserait la suppression des émotions et produirait des êtres froids, imperméables à la souffrance des autres.</w:t>
      </w:r>
    </w:p>
    <w:p>
      <w:pPr>
        <w:spacing w:after="120"/>
      </w:pPr>
      <w:r>
        <w:rPr>
          <w:rFonts w:ascii="Times New Roman" w:cs="Times New Roman" w:eastAsia="Times New Roman" w:hAnsi="Times New Roman"/>
          <w:b w:val="false"/>
          <w:bCs w:val="false"/>
          <w:i w:val="false"/>
          <w:iCs w:val="false"/>
          <w:color w:val="1F2937"/>
          <w:sz w:val="22"/>
          <w:szCs w:val="22"/>
        </w:rPr>
        <w:t xml:space="preserve">Massimo Pigliucci, dans son article pour l'Internet Encyclopedia of Philosophy (IEP), le formule sans détour :</w:t>
      </w:r>
    </w:p>
    <w:p>
      <w:pPr>
        <w:shd w:fill="F3F4F6" w:color="F3F4F6" w:val="solid"/>
        <w:spacing w:after="140"/>
        <w:ind w:left="720"/>
      </w:pPr>
      <w:r>
        <w:rPr>
          <w:rFonts w:ascii="Times New Roman" w:cs="Times New Roman" w:eastAsia="Times New Roman" w:hAnsi="Times New Roman"/>
          <w:i/>
          <w:iCs/>
          <w:color w:val="1B3A6B"/>
          <w:sz w:val="22"/>
          <w:szCs w:val="22"/>
        </w:rPr>
        <w:t xml:space="preserve">« it is grossly incorrect to say that the Stoics aimed at a passionless life, or at the suppression of emotions. »</w:t>
      </w:r>
      <w:r>
        <w:rPr>
          <w:rFonts w:ascii="Times New Roman" w:cs="Times New Roman" w:eastAsia="Times New Roman" w:hAnsi="Times New Roman"/>
          <w:color w:val="6B7280"/>
          <w:sz w:val="20"/>
          <w:szCs w:val="20"/>
        </w:rPr>
        <w:t xml:space="preserve">  — Massimo Pigliucci, IEP</w:t>
      </w:r>
    </w:p>
    <w:p>
      <w:pPr>
        <w:spacing w:after="120"/>
      </w:pPr>
      <w:r>
        <w:rPr>
          <w:rFonts w:ascii="Times New Roman" w:cs="Times New Roman" w:eastAsia="Times New Roman" w:hAnsi="Times New Roman"/>
          <w:b w:val="false"/>
          <w:bCs w:val="false"/>
          <w:i w:val="false"/>
          <w:iCs w:val="false"/>
          <w:color w:val="1F2937"/>
          <w:sz w:val="22"/>
          <w:szCs w:val="22"/>
        </w:rPr>
        <w:t xml:space="preserve">La clé de la réponse stoïcienne repose sur une triple distinction que Maël Goarzin (Stoa Gallica) présente avec précision :</w:t>
      </w:r>
    </w:p>
    <w:p>
      <w:pPr>
        <w:pStyle w:val="ListParagraph"/>
        <w:numPr>
          <w:ilvl w:val="0"/>
          <w:numId w:val="1"/>
        </w:numPr>
        <w:spacing w:after="80"/>
      </w:pPr>
      <w:r>
        <w:rPr>
          <w:rFonts w:ascii="Times New Roman" w:cs="Times New Roman" w:eastAsia="Times New Roman" w:hAnsi="Times New Roman"/>
          <w:b/>
          <w:bCs/>
          <w:i w:val="false"/>
          <w:iCs w:val="false"/>
          <w:color w:val="1F2937"/>
          <w:sz w:val="22"/>
          <w:szCs w:val="22"/>
        </w:rPr>
        <w:t xml:space="preserve">Pathê (passions) : impulsions déraisonnables résultant d'une erreur de jugement — désir de richesse, peur de la maladie, colère disproportionnée. Les stoïciens cherchent à les éliminer.</w:t>
      </w:r>
    </w:p>
    <w:p>
      <w:pPr>
        <w:pStyle w:val="ListParagraph"/>
        <w:numPr>
          <w:ilvl w:val="0"/>
          <w:numId w:val="1"/>
        </w:numPr>
        <w:spacing w:after="80"/>
      </w:pPr>
      <w:r>
        <w:rPr>
          <w:rFonts w:ascii="Times New Roman" w:cs="Times New Roman" w:eastAsia="Times New Roman" w:hAnsi="Times New Roman"/>
          <w:b/>
          <w:bCs/>
          <w:i w:val="false"/>
          <w:iCs w:val="false"/>
          <w:color w:val="1F2937"/>
          <w:sz w:val="22"/>
          <w:szCs w:val="22"/>
        </w:rPr>
        <w:t xml:space="preserve">Propatheiai (pré-passions) : réactions involontaires et naturelles — pâlir face au danger, larmes à l'annonce d'un deuil. Elles ne dépendent pas de nous ; elles ne sont ni bonnes ni mauvaises. Seul l'assentiment qu'on leur accorde peut en faire des passions.</w:t>
      </w:r>
    </w:p>
    <w:p>
      <w:pPr>
        <w:pStyle w:val="ListParagraph"/>
        <w:numPr>
          <w:ilvl w:val="0"/>
          <w:numId w:val="1"/>
        </w:numPr>
        <w:spacing w:after="80"/>
      </w:pPr>
      <w:r>
        <w:rPr>
          <w:rFonts w:ascii="Times New Roman" w:cs="Times New Roman" w:eastAsia="Times New Roman" w:hAnsi="Times New Roman"/>
          <w:b/>
          <w:bCs/>
          <w:i w:val="false"/>
          <w:iCs w:val="false"/>
          <w:color w:val="1F2937"/>
          <w:sz w:val="22"/>
          <w:szCs w:val="22"/>
        </w:rPr>
        <w:t xml:space="preserve">Eupatheiai (émotions positives) : joie sereine (chara), circonspection (eulabeia), volonté (boulêsis). Ce sont des impulsions mesurées et conformes à la raison que le sage éprouve pleinement.</w:t>
      </w:r>
    </w:p>
    <w:p>
      <w:pPr>
        <w:spacing w:after="120"/>
      </w:pPr>
      <w:r>
        <w:rPr>
          <w:rFonts w:ascii="Times New Roman" w:cs="Times New Roman" w:eastAsia="Times New Roman" w:hAnsi="Times New Roman"/>
          <w:b w:val="false"/>
          <w:bCs w:val="false"/>
          <w:i w:val="false"/>
          <w:iCs w:val="false"/>
          <w:color w:val="1F2937"/>
          <w:sz w:val="22"/>
          <w:szCs w:val="22"/>
        </w:rPr>
        <w:t xml:space="preserve">L'apatheia n'est donc pas l'absence de vie intérieure. C'est la libération des passions déraisonnables — celles qui résultent d'un mauvais jugement sur ce qui a une valeur morale réelle.</w:t>
      </w:r>
    </w:p>
    <w:p>
      <w:pPr>
        <w:spacing w:after="80"/>
      </w:pPr>
    </w:p>
    <w:p>
      <w:pPr>
        <w:spacing w:after="100" w:before="200"/>
      </w:pPr>
      <w:r>
        <w:rPr>
          <w:rFonts w:ascii="Times New Roman" w:cs="Times New Roman" w:eastAsia="Times New Roman" w:hAnsi="Times New Roman"/>
          <w:b/>
          <w:bCs/>
          <w:color w:val="1F2937"/>
          <w:sz w:val="26"/>
          <w:szCs w:val="26"/>
        </w:rPr>
        <w:t xml:space="preserve">2. Le quiétisme politique : le stoïcisme encourage-t-il la passivité ?</w:t>
      </w:r>
    </w:p>
    <w:p>
      <w:pPr>
        <w:spacing w:after="120"/>
      </w:pPr>
      <w:r>
        <w:rPr>
          <w:rFonts w:ascii="Times New Roman" w:cs="Times New Roman" w:eastAsia="Times New Roman" w:hAnsi="Times New Roman"/>
          <w:b w:val="false"/>
          <w:bCs w:val="false"/>
          <w:i w:val="false"/>
          <w:iCs w:val="false"/>
          <w:color w:val="1F2937"/>
          <w:sz w:val="22"/>
          <w:szCs w:val="22"/>
        </w:rPr>
        <w:t xml:space="preserve">Deuxième objection, philosophiquement plus sérieuse : en centrant l'attention sur ce qui dépend de nous et en acceptant ce qui ne dépend pas de nous, le stoïcisme favoriserait la résignation face aux injustices structurelles.</w:t>
      </w:r>
    </w:p>
    <w:p>
      <w:pPr>
        <w:spacing w:after="120"/>
      </w:pPr>
      <w:r>
        <w:rPr>
          <w:rFonts w:ascii="Times New Roman" w:cs="Times New Roman" w:eastAsia="Times New Roman" w:hAnsi="Times New Roman"/>
          <w:b w:val="false"/>
          <w:bCs w:val="false"/>
          <w:i w:val="false"/>
          <w:iCs w:val="false"/>
          <w:color w:val="1F2937"/>
          <w:sz w:val="22"/>
          <w:szCs w:val="22"/>
        </w:rPr>
        <w:t xml:space="preserve">Alex Richardson, dans un article intitulé « The Stoic's Lacuna » publié dans Philosophy Now, identifie une faille structurelle dans la doctrine : le glissement de la polis vers le domaine privé, accéléré par la décadence des cités grecques au moment où naît le stoïcisme. L'espace de la délibération collective recède, et le sujet stoïcien se replierait sur son jardin intérieur.</w:t>
      </w:r>
    </w:p>
    <w:p>
      <w:pPr>
        <w:spacing w:after="120"/>
      </w:pPr>
      <w:r>
        <w:rPr>
          <w:rFonts w:ascii="Times New Roman" w:cs="Times New Roman" w:eastAsia="Times New Roman" w:hAnsi="Times New Roman"/>
          <w:b w:val="false"/>
          <w:bCs w:val="false"/>
          <w:i w:val="false"/>
          <w:iCs w:val="false"/>
          <w:color w:val="1F2937"/>
          <w:sz w:val="22"/>
          <w:szCs w:val="22"/>
        </w:rPr>
        <w:t xml:space="preserve">La réponse stoïcienne est formulée clairement par Brittany Polat dans le symposium en ligne de Modern Stoicism consacré au quiétisme :</w:t>
      </w:r>
    </w:p>
    <w:p>
      <w:pPr>
        <w:shd w:fill="F3F4F6" w:color="F3F4F6" w:val="solid"/>
        <w:spacing w:after="140"/>
        <w:ind w:left="720"/>
      </w:pPr>
      <w:r>
        <w:rPr>
          <w:rFonts w:ascii="Times New Roman" w:cs="Times New Roman" w:eastAsia="Times New Roman" w:hAnsi="Times New Roman"/>
          <w:i/>
          <w:iCs/>
          <w:color w:val="1B3A6B"/>
          <w:sz w:val="22"/>
          <w:szCs w:val="22"/>
        </w:rPr>
        <w:t xml:space="preserve">« we should only accept those things we can't change. If it's within our power to change or influence something for the better, we should do it. »</w:t>
      </w:r>
      <w:r>
        <w:rPr>
          <w:rFonts w:ascii="Times New Roman" w:cs="Times New Roman" w:eastAsia="Times New Roman" w:hAnsi="Times New Roman"/>
          <w:color w:val="6B7280"/>
          <w:sz w:val="20"/>
          <w:szCs w:val="20"/>
        </w:rPr>
        <w:t xml:space="preserve">  — Brittany Polat, Modern Stoicism Symposium</w:t>
      </w:r>
    </w:p>
    <w:p>
      <w:pPr>
        <w:spacing w:after="120"/>
      </w:pPr>
      <w:r>
        <w:rPr>
          <w:rFonts w:ascii="Times New Roman" w:cs="Times New Roman" w:eastAsia="Times New Roman" w:hAnsi="Times New Roman"/>
          <w:b w:val="false"/>
          <w:bCs w:val="false"/>
          <w:i w:val="false"/>
          <w:iCs w:val="false"/>
          <w:color w:val="1F2937"/>
          <w:sz w:val="22"/>
          <w:szCs w:val="22"/>
        </w:rPr>
        <w:t xml:space="preserve">Peter Gyulay, dans le même symposium, souligne la différence fondamentale entre stoïcisme et épicurisme sur ce point : contrairement aux épicuriens qui prônaient le retrait, les stoïciens affirmaient</w:t>
      </w:r>
    </w:p>
    <w:p>
      <w:pPr>
        <w:shd w:fill="F3F4F6" w:color="F3F4F6" w:val="solid"/>
        <w:spacing w:after="140"/>
        <w:ind w:left="720"/>
      </w:pPr>
      <w:r>
        <w:rPr>
          <w:rFonts w:ascii="Times New Roman" w:cs="Times New Roman" w:eastAsia="Times New Roman" w:hAnsi="Times New Roman"/>
          <w:i/>
          <w:iCs/>
          <w:color w:val="1B3A6B"/>
          <w:sz w:val="22"/>
          <w:szCs w:val="22"/>
        </w:rPr>
        <w:t xml:space="preserve">« a fundamental and uncompromising commitment to social good »</w:t>
      </w:r>
      <w:r>
        <w:rPr>
          <w:rFonts w:ascii="Times New Roman" w:cs="Times New Roman" w:eastAsia="Times New Roman" w:hAnsi="Times New Roman"/>
          <w:color w:val="6B7280"/>
          <w:sz w:val="20"/>
          <w:szCs w:val="20"/>
        </w:rPr>
        <w:t xml:space="preserve">  — Peter Gyulay, Modern Stoicism Symposium</w:t>
      </w:r>
    </w:p>
    <w:p>
      <w:pPr>
        <w:spacing w:after="120"/>
      </w:pPr>
      <w:r>
        <w:rPr>
          <w:rFonts w:ascii="Times New Roman" w:cs="Times New Roman" w:eastAsia="Times New Roman" w:hAnsi="Times New Roman"/>
          <w:b w:val="false"/>
          <w:bCs w:val="false"/>
          <w:i w:val="false"/>
          <w:iCs w:val="false"/>
          <w:color w:val="1F2937"/>
          <w:sz w:val="22"/>
          <w:szCs w:val="22"/>
        </w:rPr>
        <w:t xml:space="preserve">Le cosmopolitisme stoïcien — l'appartenance à la communauté universelle des êtres de raison — impose l'engagement dans la communauté, pas le repli. Le sage s'engage dans la vie publique, assume des rôles, se bat pour la justice. Ce n'est pas sa paix intérieure qu'il défend en s'engageant ; c'est son devoir (kathêkon).</w:t>
      </w:r>
    </w:p>
    <w:p>
      <w:pPr>
        <w:spacing w:after="80"/>
      </w:pPr>
    </w:p>
    <w:p>
      <w:pPr>
        <w:spacing w:after="100" w:before="200"/>
      </w:pPr>
      <w:r>
        <w:rPr>
          <w:rFonts w:ascii="Times New Roman" w:cs="Times New Roman" w:eastAsia="Times New Roman" w:hAnsi="Times New Roman"/>
          <w:b/>
          <w:bCs/>
          <w:color w:val="1F2937"/>
          <w:sz w:val="26"/>
          <w:szCs w:val="26"/>
        </w:rPr>
        <w:t xml:space="preserve">3. L'argument paresseux et la question du déterminisme</w:t>
      </w:r>
    </w:p>
    <w:p>
      <w:pPr>
        <w:spacing w:after="120"/>
      </w:pPr>
      <w:r>
        <w:rPr>
          <w:rFonts w:ascii="Times New Roman" w:cs="Times New Roman" w:eastAsia="Times New Roman" w:hAnsi="Times New Roman"/>
          <w:b w:val="false"/>
          <w:bCs w:val="false"/>
          <w:i w:val="false"/>
          <w:iCs w:val="false"/>
          <w:color w:val="1F2937"/>
          <w:sz w:val="22"/>
          <w:szCs w:val="22"/>
        </w:rPr>
        <w:t xml:space="preserve">Si tout est régi par le destin (heimarmenê) et le logos, à quoi bon agir ? Cicéron formule ce qu'on appelle l'argos logos (argument paresseux) : si ma guérison est déterminée d'avance, pourquoi appeler le médecin ?</w:t>
      </w:r>
    </w:p>
    <w:p>
      <w:pPr>
        <w:spacing w:after="120"/>
      </w:pPr>
      <w:r>
        <w:rPr>
          <w:rFonts w:ascii="Times New Roman" w:cs="Times New Roman" w:eastAsia="Times New Roman" w:hAnsi="Times New Roman"/>
          <w:b w:val="false"/>
          <w:bCs w:val="false"/>
          <w:i w:val="false"/>
          <w:iCs w:val="false"/>
          <w:color w:val="1F2937"/>
          <w:sz w:val="22"/>
          <w:szCs w:val="22"/>
        </w:rPr>
        <w:t xml:space="preserve">La Stanford Encyclopedia of Philosophy (SEP) détaille la réponse stoïcienne par le concept de co-fatalisme : certains événements sont « co-fatés » (co-fated). L'appel au médecin et la venue du médecin font partie de la même chaîne causale ; ils ne peuvent pas être dissociés. Les moyens sont co-déterminés avec la fin. L'action reste non seulement possible mais nécessaire — elle est elle-même tissée dans le destin.</w:t>
      </w:r>
    </w:p>
    <w:p>
      <w:pPr>
        <w:spacing w:after="120"/>
      </w:pPr>
      <w:r>
        <w:rPr>
          <w:rFonts w:ascii="Times New Roman" w:cs="Times New Roman" w:eastAsia="Times New Roman" w:hAnsi="Times New Roman"/>
          <w:b w:val="false"/>
          <w:bCs w:val="false"/>
          <w:i w:val="false"/>
          <w:iCs w:val="false"/>
          <w:color w:val="1F2937"/>
          <w:sz w:val="22"/>
          <w:szCs w:val="22"/>
        </w:rPr>
        <w:t xml:space="preserve">C'est une réponse élégante, mais non sans résidu : le libre arbitre, au sens moderne, reste limité. Le stoïcisme assume cette tension plutôt qu'il ne la dissout.</w:t>
      </w:r>
    </w:p>
    <w:p>
      <w:pPr>
        <w:spacing w:after="80"/>
      </w:pPr>
    </w:p>
    <w:p>
      <w:pPr>
        <w:spacing w:after="100" w:before="200"/>
      </w:pPr>
      <w:r>
        <w:rPr>
          <w:rFonts w:ascii="Times New Roman" w:cs="Times New Roman" w:eastAsia="Times New Roman" w:hAnsi="Times New Roman"/>
          <w:b/>
          <w:bCs/>
          <w:color w:val="1F2937"/>
          <w:sz w:val="26"/>
          <w:szCs w:val="26"/>
        </w:rPr>
        <w:t xml:space="preserve">4. L'orgueil stoïcien : critiques religieuses et philosophiques</w:t>
      </w:r>
    </w:p>
    <w:p>
      <w:pPr>
        <w:spacing w:after="120"/>
      </w:pPr>
      <w:r>
        <w:rPr>
          <w:rFonts w:ascii="Times New Roman" w:cs="Times New Roman" w:eastAsia="Times New Roman" w:hAnsi="Times New Roman"/>
          <w:b w:val="false"/>
          <w:bCs w:val="false"/>
          <w:i w:val="false"/>
          <w:iCs w:val="false"/>
          <w:color w:val="1F2937"/>
          <w:sz w:val="22"/>
          <w:szCs w:val="22"/>
        </w:rPr>
        <w:t xml:space="preserve">Pascal dénonce « l'orgueil d'Épictète » ; Malebranche moque « la folie ridicule du sage » ; Leibniz condamne ce qu'il perçoit comme une « indolence sans espérance » dans le stoïcisme cartésien. Ces formulations sont documentées par Normand Doiron dans sa recension publiée sur La Vie des idées de l'ouvrage de Jacqueline Lagrée consacré au néostoïcisme.</w:t>
      </w:r>
    </w:p>
    <w:p>
      <w:pPr>
        <w:spacing w:after="120"/>
      </w:pPr>
      <w:r>
        <w:rPr>
          <w:rFonts w:ascii="Times New Roman" w:cs="Times New Roman" w:eastAsia="Times New Roman" w:hAnsi="Times New Roman"/>
          <w:b w:val="false"/>
          <w:bCs w:val="false"/>
          <w:i w:val="false"/>
          <w:iCs w:val="false"/>
          <w:color w:val="1F2937"/>
          <w:sz w:val="22"/>
          <w:szCs w:val="22"/>
        </w:rPr>
        <w:t xml:space="preserve">Le reproche central : la prétention stoïcienne à l'autosuffisance de la vertu — le sage peut atteindre le bonheur par la seule force de la raison, indépendamment de la grâce, de l'autre, des circonstances — serait une forme d'orgueil philosophique. Pour les chrétiens, elle évacue la grâce divine. Pour d'autres, elle ignore la réalité de la dépendance humaine.</w:t>
      </w:r>
    </w:p>
    <w:p>
      <w:pPr>
        <w:spacing w:after="120"/>
      </w:pPr>
      <w:r>
        <w:rPr>
          <w:rFonts w:ascii="Times New Roman" w:cs="Times New Roman" w:eastAsia="Times New Roman" w:hAnsi="Times New Roman"/>
          <w:b w:val="false"/>
          <w:bCs w:val="false"/>
          <w:i w:val="false"/>
          <w:iCs w:val="false"/>
          <w:color w:val="1F2937"/>
          <w:sz w:val="22"/>
          <w:szCs w:val="22"/>
        </w:rPr>
        <w:t xml:space="preserve">La réponse stoïcienne est partielle : le sage stoïcien est un idéal régulateur, une limite asymptotique. Les Stoïciens eux-mêmes reconnaissaient que le sage parfait était rarissime (peut-être inexistant). Mais la critique pointe une tension réelle entre l'ambition de l'autotransformation et la reconnaissance de ce qui nous échappe.</w:t>
      </w:r>
    </w:p>
    <w:p>
      <w:pPr>
        <w:spacing w:after="80"/>
      </w:pPr>
    </w:p>
    <w:p>
      <w:pPr>
        <w:spacing w:after="100" w:before="200"/>
      </w:pPr>
      <w:r>
        <w:rPr>
          <w:rFonts w:ascii="Times New Roman" w:cs="Times New Roman" w:eastAsia="Times New Roman" w:hAnsi="Times New Roman"/>
          <w:b/>
          <w:bCs/>
          <w:color w:val="1F2937"/>
          <w:sz w:val="26"/>
          <w:szCs w:val="26"/>
        </w:rPr>
        <w:t xml:space="preserve">5. Objections féministes contemporaines</w:t>
      </w:r>
    </w:p>
    <w:p>
      <w:pPr>
        <w:spacing w:after="120"/>
      </w:pPr>
      <w:r>
        <w:rPr>
          <w:rFonts w:ascii="Times New Roman" w:cs="Times New Roman" w:eastAsia="Times New Roman" w:hAnsi="Times New Roman"/>
          <w:b w:val="false"/>
          <w:bCs w:val="false"/>
          <w:i w:val="false"/>
          <w:iCs w:val="false"/>
          <w:color w:val="1F2937"/>
          <w:sz w:val="22"/>
          <w:szCs w:val="22"/>
        </w:rPr>
        <w:t xml:space="preserve">Emily McGill et Scott Aikin, dans un entretien accordé au Daily Stoic (Ryan Holiday), distinguent deux niveaux dans la tradition stoïcienne antique.</w:t>
      </w:r>
    </w:p>
    <w:p>
      <w:pPr>
        <w:spacing w:after="120"/>
      </w:pPr>
      <w:r>
        <w:rPr>
          <w:rFonts w:ascii="Times New Roman" w:cs="Times New Roman" w:eastAsia="Times New Roman" w:hAnsi="Times New Roman"/>
          <w:b w:val="false"/>
          <w:bCs w:val="false"/>
          <w:i w:val="false"/>
          <w:iCs w:val="false"/>
          <w:color w:val="1F2937"/>
          <w:sz w:val="22"/>
          <w:szCs w:val="22"/>
        </w:rPr>
        <w:t xml:space="preserve">En théorie : les Stoïciens reconnaissaient l'égalité des capacités rationnelles entre hommes et femmes, et une citoyenneté cosmopolite commune — éléments incontestablement progressistes pour l'époque.</w:t>
      </w:r>
    </w:p>
    <w:p>
      <w:pPr>
        <w:spacing w:after="120"/>
      </w:pPr>
      <w:r>
        <w:rPr>
          <w:rFonts w:ascii="Times New Roman" w:cs="Times New Roman" w:eastAsia="Times New Roman" w:hAnsi="Times New Roman"/>
          <w:b w:val="false"/>
          <w:bCs w:val="false"/>
          <w:i w:val="false"/>
          <w:iCs w:val="false"/>
          <w:color w:val="1F2937"/>
          <w:sz w:val="22"/>
          <w:szCs w:val="22"/>
        </w:rPr>
        <w:t xml:space="preserve">En pratique : McGill et Aikin parlent d'un « Stoic misogyny ». Épictète raille l'épicurisme comme inadapté aux femmes. Sénèque félicite les stoïciens de penser « comme des hommes ». L'éducation des femmes, dans la pratique stoïcienne, était conçue pour faire de meilleures épouses et mères — non pour les émanciper. Cette coupure entre théorie prometteuse et pratique inégalitaire, que McGill et Aikin nomment le « uneven track record » du stoïcisme, reste un point de tension non résolu.</w:t>
      </w:r>
    </w:p>
    <w:p>
      <w:pPr>
        <w:spacing w:after="120"/>
      </w:pPr>
      <w:r>
        <w:rPr>
          <w:rFonts w:ascii="Times New Roman" w:cs="Times New Roman" w:eastAsia="Times New Roman" w:hAnsi="Times New Roman"/>
          <w:b w:val="false"/>
          <w:bCs w:val="false"/>
          <w:i w:val="false"/>
          <w:iCs w:val="false"/>
          <w:color w:val="1F2937"/>
          <w:sz w:val="22"/>
          <w:szCs w:val="22"/>
        </w:rPr>
        <w:t xml:space="preserve">Pour autant, McGill et Aikin reconnaissent que le stoïcisme comme philosophie dispose des ressources théoriques pour soutenir l'égalité et l'autonomie — la question est celle de son application historique réelle.</w:t>
      </w:r>
    </w:p>
    <w:p>
      <w:pPr>
        <w:spacing w:after="80"/>
      </w:pPr>
    </w:p>
    <w:p>
      <w:pPr>
        <w:spacing w:after="100" w:before="200"/>
      </w:pPr>
      <w:r>
        <w:rPr>
          <w:rFonts w:ascii="Times New Roman" w:cs="Times New Roman" w:eastAsia="Times New Roman" w:hAnsi="Times New Roman"/>
          <w:b/>
          <w:bCs/>
          <w:color w:val="1F2937"/>
          <w:sz w:val="26"/>
          <w:szCs w:val="26"/>
        </w:rPr>
        <w:t xml:space="preserve">6. La récupération néolibérale : une dérive contemporaine</w:t>
      </w:r>
    </w:p>
    <w:p>
      <w:pPr>
        <w:spacing w:after="120"/>
      </w:pPr>
      <w:r>
        <w:rPr>
          <w:rFonts w:ascii="Times New Roman" w:cs="Times New Roman" w:eastAsia="Times New Roman" w:hAnsi="Times New Roman"/>
          <w:b w:val="false"/>
          <w:bCs w:val="false"/>
          <w:i w:val="false"/>
          <w:iCs w:val="false"/>
          <w:color w:val="1F2937"/>
          <w:sz w:val="22"/>
          <w:szCs w:val="22"/>
        </w:rPr>
        <w:t xml:space="preserve">Alex Richardson (Philosophy Now) signale enfin une instrumentalisation récente : certaines lectures contemporaines du stoïcisme — notamment celles valorisant la résilience individuelle comme seule réponse aux épreuves — peuvent servir à justifier l'inaction collective. Si chacun « met sa maison en ordre », la responsabilité structurelle des injustices peut disparaître de l'horizon.</w:t>
      </w:r>
    </w:p>
    <w:p>
      <w:pPr>
        <w:spacing w:after="120"/>
      </w:pPr>
      <w:r>
        <w:rPr>
          <w:rFonts w:ascii="Times New Roman" w:cs="Times New Roman" w:eastAsia="Times New Roman" w:hAnsi="Times New Roman"/>
          <w:b w:val="false"/>
          <w:bCs w:val="false"/>
          <w:i w:val="false"/>
          <w:iCs w:val="false"/>
          <w:color w:val="1F2937"/>
          <w:sz w:val="22"/>
          <w:szCs w:val="22"/>
        </w:rPr>
        <w:t xml:space="preserve">C'est une lecture partielle et tronquée du stoïcisme, mais réelle dans ses effets culturels. Le praticien honnête doit en être conscient, pour distinguer la pratique stoïcienne authentique de ses caricatures.</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Tableau récapitulatif des six familles d'objections :</w:t>
      </w:r>
    </w:p>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tcW w:type="dxa" w:w="2000"/>
            <w:shd w:fill="1B3A6B" w:color="1B3A6B" w:val="solid"/>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Critique</w:t>
            </w:r>
          </w:p>
        </w:tc>
        <w:tc>
          <w:tcPr>
            <w:tcW w:type="dxa" w:w="4000"/>
            <w:shd w:fill="1B3A6B" w:color="1B3A6B" w:val="solid"/>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Formulation courante</w:t>
            </w:r>
          </w:p>
        </w:tc>
        <w:tc>
          <w:tcPr>
            <w:tcW w:type="dxa" w:w="4000"/>
            <w:shd w:fill="1B3A6B" w:color="1B3A6B" w:val="solid"/>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Réponse stoïcienne</w:t>
            </w:r>
          </w:p>
        </w:tc>
      </w:tr>
      <w:tr>
        <w:tc>
          <w:tcPr>
            <w:tcW w:type="dxa" w:w="2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Insensibilité</w:t>
            </w:r>
          </w:p>
        </w:tc>
        <w:tc>
          <w:tcPr>
            <w:tcW w:type="dxa" w:w="4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Le sage stoïcien est un robot sans émotions</w:t>
            </w:r>
          </w:p>
        </w:tc>
        <w:tc>
          <w:tcPr>
            <w:tcW w:type="dxa" w:w="4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Distinction pathê / eupatheiai / propatheiai — voir corps de leçon</w:t>
            </w:r>
          </w:p>
        </w:tc>
      </w:tr>
      <w:tr>
        <w:tc>
          <w:tcPr>
            <w:tcW w:type="dxa" w:w="2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Quiétisme</w:t>
            </w:r>
          </w:p>
        </w:tc>
        <w:tc>
          <w:tcPr>
            <w:tcW w:type="dxa" w:w="4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Le stoïcisme encourage le retrait face aux injustices</w:t>
            </w:r>
          </w:p>
        </w:tc>
        <w:tc>
          <w:tcPr>
            <w:tcW w:type="dxa" w:w="4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Seul ce qu'on ne peut pas changer est accepté ; l'action reste un devoir — voir corps de leçon</w:t>
            </w:r>
          </w:p>
        </w:tc>
      </w:tr>
      <w:tr>
        <w:tc>
          <w:tcPr>
            <w:tcW w:type="dxa" w:w="2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Argument paresseux</w:t>
            </w:r>
          </w:p>
        </w:tc>
        <w:tc>
          <w:tcPr>
            <w:tcW w:type="dxa" w:w="4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Si tout est déterminé, l'action est inutile</w:t>
            </w:r>
          </w:p>
        </w:tc>
        <w:tc>
          <w:tcPr>
            <w:tcW w:type="dxa" w:w="4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Co-fatalisme : les moyens font partie de la même chaîne causale — voir corps de leçon</w:t>
            </w:r>
          </w:p>
        </w:tc>
      </w:tr>
      <w:tr>
        <w:tc>
          <w:tcPr>
            <w:tcW w:type="dxa" w:w="2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Orgueil / autosuffisance</w:t>
            </w:r>
          </w:p>
        </w:tc>
        <w:tc>
          <w:tcPr>
            <w:tcW w:type="dxa" w:w="4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Prétention à tout maîtriser par la seule volonté</w:t>
            </w:r>
          </w:p>
        </w:tc>
        <w:tc>
          <w:tcPr>
            <w:tcW w:type="dxa" w:w="4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Pascal, Malebranche, Leibniz — débat non clos ; le sage reconnaît ses limites</w:t>
            </w:r>
          </w:p>
        </w:tc>
      </w:tr>
      <w:tr>
        <w:tc>
          <w:tcPr>
            <w:tcW w:type="dxa" w:w="2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Sexisme en pratique</w:t>
            </w:r>
          </w:p>
        </w:tc>
        <w:tc>
          <w:tcPr>
            <w:tcW w:type="dxa" w:w="4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Principes égalitaires non appliqués aux femmes</w:t>
            </w:r>
          </w:p>
        </w:tc>
        <w:tc>
          <w:tcPr>
            <w:tcW w:type="dxa" w:w="4000"/>
            <w:tcMar>
              <w:top w:type="dxa" w:w="80"/>
              <w:left w:type="dxa" w:w="120"/>
              <w:bottom w:type="dxa" w:w="80"/>
              <w:right w:type="dxa" w:w="120"/>
            </w:tcMar>
          </w:tcPr>
          <w:p>
            <w:r>
              <w:rPr>
                <w:rFonts w:ascii="Times New Roman" w:cs="Times New Roman" w:eastAsia="Times New Roman" w:hAnsi="Times New Roman"/>
                <w:color w:val="1F2937"/>
                <w:sz w:val="20"/>
                <w:szCs w:val="20"/>
              </w:rPr>
              <w:t xml:space="preserve">Bilan historique reconnu inégal — la théorie dispose du potentiel réformateur</w:t>
            </w:r>
          </w:p>
        </w:tc>
      </w:tr>
      <w:tr>
        <w:tc>
          <w:tcPr>
            <w:tcW w:type="dxa" w:w="2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Récupération néolibérale</w:t>
            </w:r>
          </w:p>
        </w:tc>
        <w:tc>
          <w:tcPr>
            <w:tcW w:type="dxa" w:w="4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L'individualisme stoïcien décourage l'action collective</w:t>
            </w:r>
          </w:p>
        </w:tc>
        <w:tc>
          <w:tcPr>
            <w:tcW w:type="dxa" w:w="4000"/>
            <w:shd w:fill="EEF2F7" w:color="EEF2F7" w:val="solid"/>
            <w:tcMar>
              <w:top w:type="dxa" w:w="80"/>
              <w:left w:type="dxa" w:w="120"/>
              <w:bottom w:type="dxa" w:w="80"/>
              <w:right w:type="dxa" w:w="120"/>
            </w:tcMar>
          </w:tcPr>
          <w:p>
            <w:r>
              <w:rPr>
                <w:rFonts w:ascii="Times New Roman" w:cs="Times New Roman" w:eastAsia="Times New Roman" w:hAnsi="Times New Roman"/>
                <w:color w:val="1F2937"/>
                <w:sz w:val="20"/>
                <w:szCs w:val="20"/>
              </w:rPr>
              <w:t xml:space="preserve">Lecture partielle et tronquée — le cosmopolitisme stoïcien impose l'engagement</w:t>
            </w:r>
          </w:p>
        </w:tc>
      </w:tr>
    </w:tbl>
    <w:p>
      <w:pPr>
        <w:spacing w:after="80"/>
      </w:pP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Pratique (80 %) — Trois exercices</w:t>
      </w:r>
    </w:p>
    <w:p>
      <w:pPr>
        <w:spacing w:after="100" w:before="200"/>
      </w:pPr>
      <w:r>
        <w:rPr>
          <w:rFonts w:ascii="Times New Roman" w:cs="Times New Roman" w:eastAsia="Times New Roman" w:hAnsi="Times New Roman"/>
          <w:b/>
          <w:bCs/>
          <w:color w:val="1F2937"/>
          <w:sz w:val="26"/>
          <w:szCs w:val="26"/>
        </w:rPr>
        <w:t xml:space="preserve">Exercice 1 — La critique qui me touche le plus (réflexion personnelle)</w:t>
      </w:r>
    </w:p>
    <w:p>
      <w:pPr>
        <w:spacing w:after="120"/>
      </w:pPr>
      <w:r>
        <w:rPr>
          <w:rFonts w:ascii="Times New Roman" w:cs="Times New Roman" w:eastAsia="Times New Roman" w:hAnsi="Times New Roman"/>
          <w:b w:val="false"/>
          <w:bCs w:val="false"/>
          <w:i w:val="false"/>
          <w:iCs w:val="false"/>
          <w:color w:val="1F2937"/>
          <w:sz w:val="22"/>
          <w:szCs w:val="22"/>
        </w:rPr>
        <w:t xml:space="preserve">Durée : 20-25 minutes</w:t>
      </w:r>
    </w:p>
    <w:p>
      <w:pPr>
        <w:spacing w:after="80"/>
      </w:pPr>
    </w:p>
    <w:p>
      <w:pPr>
        <w:spacing w:after="120"/>
      </w:pPr>
      <w:r>
        <w:rPr>
          <w:rFonts w:ascii="Times New Roman" w:cs="Times New Roman" w:eastAsia="Times New Roman" w:hAnsi="Times New Roman"/>
          <w:b/>
          <w:bCs/>
          <w:i w:val="false"/>
          <w:iCs w:val="false"/>
          <w:color w:val="1F2937"/>
          <w:sz w:val="22"/>
          <w:szCs w:val="22"/>
        </w:rPr>
        <w:t xml:space="preserve">Objectif : </w:t>
      </w:r>
      <w:r>
        <w:rPr>
          <w:rFonts w:ascii="Times New Roman" w:cs="Times New Roman" w:eastAsia="Times New Roman" w:hAnsi="Times New Roman"/>
          <w:b w:val="false"/>
          <w:bCs w:val="false"/>
          <w:i w:val="false"/>
          <w:iCs w:val="false"/>
          <w:color w:val="1F2937"/>
          <w:sz w:val="22"/>
          <w:szCs w:val="22"/>
        </w:rPr>
        <w:t xml:space="preserve">apprendre à identifier sa propre vulnérabilité face aux critiques — et à y répondre avec honnêteté plutôt qu'avec une réfutation automatique.</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Démarche en trois temps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Lis les six familles de critiques. Laquelle te touche le plus ? Pas celle que tu trouves la plus philosophiquement solide — celle qui résonne le plus dans ta propre pratique.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Écris une page où tu formules l'objection à la première personne : « Je me suis déjà demandé si le stoïcisme ne me rendait pas... ». Sois précis, concret, personnel.</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Rédige ensuite une réponse honnête — pas une réfutation en règle, mais une réponse qui tient compte de ce que la critique pointe de juste, tout en maintenant ce qui te semble défendable.</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Point de vigilance : une réponse qui dit « cette critique est fausse parce que les stoïciens disent X » n'est pas une réponse honnête si le comportement réel des stoïciens (ou le tien) ne coïncide pas avec la théorie. La critique féministe de McGill et Aikin est précisément là pour rappeler que la théorie et la pratique peuvent diverger.</w:t>
      </w:r>
    </w:p>
    <w:p>
      <w:pPr>
        <w:spacing w:after="80"/>
      </w:pPr>
    </w:p>
    <w:p>
      <w:pPr>
        <w:spacing w:after="100" w:before="200"/>
      </w:pPr>
      <w:r>
        <w:rPr>
          <w:rFonts w:ascii="Times New Roman" w:cs="Times New Roman" w:eastAsia="Times New Roman" w:hAnsi="Times New Roman"/>
          <w:b/>
          <w:bCs/>
          <w:color w:val="1F2937"/>
          <w:sz w:val="26"/>
          <w:szCs w:val="26"/>
        </w:rPr>
        <w:t xml:space="preserve">Exercice 2 — Journal pathê / propatheiai / eupatheiai (24 heures)</w:t>
      </w:r>
    </w:p>
    <w:p>
      <w:pPr>
        <w:spacing w:after="120"/>
      </w:pPr>
      <w:r>
        <w:rPr>
          <w:rFonts w:ascii="Times New Roman" w:cs="Times New Roman" w:eastAsia="Times New Roman" w:hAnsi="Times New Roman"/>
          <w:b w:val="false"/>
          <w:bCs w:val="false"/>
          <w:i w:val="false"/>
          <w:iCs w:val="false"/>
          <w:color w:val="1F2937"/>
          <w:sz w:val="22"/>
          <w:szCs w:val="22"/>
        </w:rPr>
        <w:t xml:space="preserve">Durée : observation sur une journée, synthèse de 15 minutes</w:t>
      </w:r>
    </w:p>
    <w:p>
      <w:pPr>
        <w:spacing w:after="80"/>
      </w:pPr>
    </w:p>
    <w:p>
      <w:pPr>
        <w:spacing w:after="120"/>
      </w:pPr>
      <w:r>
        <w:rPr>
          <w:rFonts w:ascii="Times New Roman" w:cs="Times New Roman" w:eastAsia="Times New Roman" w:hAnsi="Times New Roman"/>
          <w:b/>
          <w:bCs/>
          <w:i w:val="false"/>
          <w:iCs w:val="false"/>
          <w:color w:val="1F2937"/>
          <w:sz w:val="22"/>
          <w:szCs w:val="22"/>
        </w:rPr>
        <w:t xml:space="preserve">Objectif : </w:t>
      </w:r>
      <w:r>
        <w:rPr>
          <w:rFonts w:ascii="Times New Roman" w:cs="Times New Roman" w:eastAsia="Times New Roman" w:hAnsi="Times New Roman"/>
          <w:b w:val="false"/>
          <w:bCs w:val="false"/>
          <w:i w:val="false"/>
          <w:iCs w:val="false"/>
          <w:color w:val="1F2937"/>
          <w:sz w:val="22"/>
          <w:szCs w:val="22"/>
        </w:rPr>
        <w:t xml:space="preserve">ancrer la triple distinction dans l'expérience vécue plutôt que dans le seul vocabulaire.</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Pendant 24 heures, note dans un carnet ou sur ton téléphone chaque épisode émotionnel notable, en le classant selon les trois catégories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Propatheiai : « J'ai eu un mouvement involontaire de... (sursaut, irritation, tristesse réflexe) → j'ai ensuite donné / refusé mon assentiment.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Pathê : « J'ai laissé une impulsion déraisonnable s'installer, parce que j'ai cru que X était un bien (ou un mal) qu'il n'était pas.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Eupatheiai : « J'ai éprouvé une joie sereine / une volonté mesurée / une circonspection face à... »</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À la synthèse du soir : quel est le rapport numérique entre les trois catégories dans ta journée ? Où la distorsion est-elle la plus forte ? L'exercice vise la description honnête, pas la performance.</w:t>
      </w:r>
    </w:p>
    <w:p>
      <w:pPr>
        <w:spacing w:after="80"/>
      </w:pPr>
    </w:p>
    <w:p>
      <w:pPr>
        <w:spacing w:after="100" w:before="200"/>
      </w:pPr>
      <w:r>
        <w:rPr>
          <w:rFonts w:ascii="Times New Roman" w:cs="Times New Roman" w:eastAsia="Times New Roman" w:hAnsi="Times New Roman"/>
          <w:b/>
          <w:bCs/>
          <w:color w:val="1F2937"/>
          <w:sz w:val="26"/>
          <w:szCs w:val="26"/>
        </w:rPr>
        <w:t xml:space="preserve">Exercice 3 — Déconstruire une résignation</w:t>
      </w:r>
    </w:p>
    <w:p>
      <w:pPr>
        <w:spacing w:after="120"/>
      </w:pPr>
      <w:r>
        <w:rPr>
          <w:rFonts w:ascii="Times New Roman" w:cs="Times New Roman" w:eastAsia="Times New Roman" w:hAnsi="Times New Roman"/>
          <w:b w:val="false"/>
          <w:bCs w:val="false"/>
          <w:i w:val="false"/>
          <w:iCs w:val="false"/>
          <w:color w:val="1F2937"/>
          <w:sz w:val="22"/>
          <w:szCs w:val="22"/>
        </w:rPr>
        <w:t xml:space="preserve">Durée : 20 minutes</w:t>
      </w:r>
    </w:p>
    <w:p>
      <w:pPr>
        <w:spacing w:after="80"/>
      </w:pPr>
    </w:p>
    <w:p>
      <w:pPr>
        <w:spacing w:after="120"/>
      </w:pPr>
      <w:r>
        <w:rPr>
          <w:rFonts w:ascii="Times New Roman" w:cs="Times New Roman" w:eastAsia="Times New Roman" w:hAnsi="Times New Roman"/>
          <w:b/>
          <w:bCs/>
          <w:i w:val="false"/>
          <w:iCs w:val="false"/>
          <w:color w:val="1F2937"/>
          <w:sz w:val="22"/>
          <w:szCs w:val="22"/>
        </w:rPr>
        <w:t xml:space="preserve">Objectif : </w:t>
      </w:r>
      <w:r>
        <w:rPr>
          <w:rFonts w:ascii="Times New Roman" w:cs="Times New Roman" w:eastAsia="Times New Roman" w:hAnsi="Times New Roman"/>
          <w:b w:val="false"/>
          <w:bCs w:val="false"/>
          <w:i w:val="false"/>
          <w:iCs w:val="false"/>
          <w:color w:val="1F2937"/>
          <w:sz w:val="22"/>
          <w:szCs w:val="22"/>
        </w:rPr>
        <w:t xml:space="preserve">distinguer l'acceptation stoïcienne authentique de sa version dégradée — l'argument paresseux en acte.</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Rappel de l'argument paresseux : « À quoi bon agir, si le résultat est déterminé d'avance ? » Sa forme pratique est souvent : « De toute façon, ça ne changera rien. »</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Consigne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Choisis une situation dans ta vie (passée ou récente) où tu as dit — ou pensé — « de toute façon, ça ne changera rien » et où tu n'as pas agi.</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Analyse honnêtement : s'agissait-il d'une vraie acceptation stoïcienne (la situation n'était réellement pas en ton pouvoir) ou d'une version déguisée de l'argument paresseux (tu avais en réalité le pouvoir d'agir, mais la peur ou la fatigue ont habillé la résignation en sagesse)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Si c'était une forme d'argument paresseux : quelle action, même petite, était en ton pouvoir ? Qu'est-ce qui t'en a empêché réellement ?</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Réponse stoïcienne attendue : la dichotomie du contrôle ne dispense pas d'agir là où on peut agir. Elle dispense de souffrir de ce qu'on ne peut pas changer — pas de l'effort sur ce qu'on peut.</w:t>
      </w: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Challenge — Le débat intérieur</w:t>
      </w:r>
    </w:p>
    <w:p>
      <w:pPr>
        <w:spacing w:after="120"/>
      </w:pPr>
      <w:r>
        <w:rPr>
          <w:rFonts w:ascii="Times New Roman" w:cs="Times New Roman" w:eastAsia="Times New Roman" w:hAnsi="Times New Roman"/>
          <w:b w:val="false"/>
          <w:bCs w:val="false"/>
          <w:i w:val="false"/>
          <w:iCs w:val="false"/>
          <w:color w:val="1F2937"/>
          <w:sz w:val="22"/>
          <w:szCs w:val="22"/>
        </w:rPr>
        <w:t xml:space="preserve">Durée : 30-40 minutes</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Parmi les six familles de critiques, choisis celle que tu juges la plus sérieuse — celle dont tu ne trouves pas de réponse stoïcienne pleinement satisfaisante.</w:t>
      </w:r>
    </w:p>
    <w:p>
      <w:pPr>
        <w:spacing w:after="80"/>
      </w:pPr>
    </w:p>
    <w:p>
      <w:pPr>
        <w:spacing w:after="100" w:before="200"/>
      </w:pPr>
      <w:r>
        <w:rPr>
          <w:rFonts w:ascii="Times New Roman" w:cs="Times New Roman" w:eastAsia="Times New Roman" w:hAnsi="Times New Roman"/>
          <w:b/>
          <w:bCs/>
          <w:color w:val="1F2937"/>
          <w:sz w:val="26"/>
          <w:szCs w:val="26"/>
        </w:rPr>
        <w:t xml:space="preserve">Phase 1 : Défendre le stoïcisme</w:t>
      </w:r>
    </w:p>
    <w:p>
      <w:pPr>
        <w:spacing w:after="120"/>
      </w:pPr>
      <w:r>
        <w:rPr>
          <w:rFonts w:ascii="Times New Roman" w:cs="Times New Roman" w:eastAsia="Times New Roman" w:hAnsi="Times New Roman"/>
          <w:b w:val="false"/>
          <w:bCs w:val="false"/>
          <w:i w:val="false"/>
          <w:iCs w:val="false"/>
          <w:color w:val="1F2937"/>
          <w:sz w:val="22"/>
          <w:szCs w:val="22"/>
        </w:rPr>
        <w:t xml:space="preserve">Rédige un texte d'une page défendant le stoïcisme contre cette objection. Mobilise les arguments du cours, les textes que tu connais, ton expérience. Sois aussi convaincant que possible.</w:t>
      </w:r>
    </w:p>
    <w:p>
      <w:pPr>
        <w:spacing w:after="80"/>
      </w:pPr>
    </w:p>
    <w:p>
      <w:pPr>
        <w:spacing w:after="100" w:before="200"/>
      </w:pPr>
      <w:r>
        <w:rPr>
          <w:rFonts w:ascii="Times New Roman" w:cs="Times New Roman" w:eastAsia="Times New Roman" w:hAnsi="Times New Roman"/>
          <w:b/>
          <w:bCs/>
          <w:color w:val="1F2937"/>
          <w:sz w:val="26"/>
          <w:szCs w:val="26"/>
        </w:rPr>
        <w:t xml:space="preserve">Phase 2 : Porter l'objection au maximum</w:t>
      </w:r>
    </w:p>
    <w:p>
      <w:pPr>
        <w:spacing w:after="120"/>
      </w:pPr>
      <w:r>
        <w:rPr>
          <w:rFonts w:ascii="Times New Roman" w:cs="Times New Roman" w:eastAsia="Times New Roman" w:hAnsi="Times New Roman"/>
          <w:b w:val="false"/>
          <w:bCs w:val="false"/>
          <w:i w:val="false"/>
          <w:iCs w:val="false"/>
          <w:color w:val="1F2937"/>
          <w:sz w:val="22"/>
          <w:szCs w:val="22"/>
        </w:rPr>
        <w:t xml:space="preserve">Change de camp. Reprends ta propre défense et identifie ses points faibles. Pousse l'objection aussi loin que possible : où la défense cède-t-elle ? Qu'est-ce que le stoïcisme ne peut vraiment pas répondre ?</w:t>
      </w:r>
    </w:p>
    <w:p>
      <w:pPr>
        <w:spacing w:after="80"/>
      </w:pPr>
    </w:p>
    <w:p>
      <w:pPr>
        <w:spacing w:after="100" w:before="200"/>
      </w:pPr>
      <w:r>
        <w:rPr>
          <w:rFonts w:ascii="Times New Roman" w:cs="Times New Roman" w:eastAsia="Times New Roman" w:hAnsi="Times New Roman"/>
          <w:b/>
          <w:bCs/>
          <w:color w:val="1F2937"/>
          <w:sz w:val="26"/>
          <w:szCs w:val="26"/>
        </w:rPr>
        <w:t xml:space="preserve">Phase 3 : Synthèse honnête</w:t>
      </w:r>
    </w:p>
    <w:p>
      <w:pPr>
        <w:spacing w:after="120"/>
      </w:pPr>
      <w:r>
        <w:rPr>
          <w:rFonts w:ascii="Times New Roman" w:cs="Times New Roman" w:eastAsia="Times New Roman" w:hAnsi="Times New Roman"/>
          <w:b w:val="false"/>
          <w:bCs w:val="false"/>
          <w:i w:val="false"/>
          <w:iCs w:val="false"/>
          <w:color w:val="1F2937"/>
          <w:sz w:val="22"/>
          <w:szCs w:val="22"/>
        </w:rPr>
        <w:t xml:space="preserve">Qu'est-ce qui reste tenable dans le stoïcisme après cet exercice ? Qu'est-ce que tu gardes, et avec quelle réserve ? Qu'est-ce que tu renonces à défendre ?</w:t>
      </w:r>
    </w:p>
    <w:p>
      <w:pPr>
        <w:spacing w:after="80"/>
      </w:pPr>
    </w:p>
    <w:p>
      <w:pPr>
        <w:spacing w:after="120"/>
      </w:pPr>
      <w:r>
        <w:rPr>
          <w:rFonts w:ascii="Times New Roman" w:cs="Times New Roman" w:eastAsia="Times New Roman" w:hAnsi="Times New Roman"/>
          <w:b w:val="false"/>
          <w:bCs w:val="false"/>
          <w:i w:val="false"/>
          <w:iCs w:val="false"/>
          <w:color w:val="1F2937"/>
          <w:sz w:val="22"/>
          <w:szCs w:val="22"/>
        </w:rPr>
        <w:t xml:space="preserve">Note : ce challenge prépare directement la leçon 20 (Bilan du parcours), où tu seras invité à formuler ta pratique stoïcienne personnelle — non pas la doctrine idéale, mais ce que tu retiens réellement, avec ses limites assumées.</w:t>
      </w: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Pont pro</w:t>
      </w:r>
    </w:p>
    <w:p>
      <w:pPr>
        <w:spacing w:after="120"/>
      </w:pPr>
      <w:r>
        <w:rPr>
          <w:rFonts w:ascii="Times New Roman" w:cs="Times New Roman" w:eastAsia="Times New Roman" w:hAnsi="Times New Roman"/>
          <w:b w:val="false"/>
          <w:bCs w:val="false"/>
          <w:i w:val="false"/>
          <w:iCs w:val="false"/>
          <w:color w:val="1F2937"/>
          <w:sz w:val="22"/>
          <w:szCs w:val="22"/>
        </w:rPr>
        <w:t xml:space="preserve">En ESSMS, l'accusation de « résignation » est familière : un professionnel qui accepte une situation difficile sans réagir peut être perçu comme passif, complice, ou épuisé. La distinction stoïcienne entre acceptation honnête (ce qui n'est pas en mon pouvoir) et esquive masquée en sagesse (argument paresseux) est un outil de discernement utile — pour soi, et pour lire ce qui se passe dans une équipe.</w:t>
      </w:r>
    </w:p>
    <w:p>
      <w:pPr>
        <w:spacing w:after="120"/>
      </w:pPr>
      <w:r>
        <w:rPr>
          <w:rFonts w:ascii="Times New Roman" w:cs="Times New Roman" w:eastAsia="Times New Roman" w:hAnsi="Times New Roman"/>
          <w:b w:val="false"/>
          <w:bCs w:val="false"/>
          <w:i w:val="false"/>
          <w:iCs w:val="false"/>
          <w:color w:val="1F2937"/>
          <w:sz w:val="22"/>
          <w:szCs w:val="22"/>
        </w:rPr>
        <w:t xml:space="preserve">À réserver à l'usage personnel : comme le rappelle la règle D3 de ce parcours, les concepts stoïciens ne se transposent pas directement comme justification professionnelle. Ce qui vient du stoïcisme reste une ressource de préparation intérieure, pas un cadre opposable dans un projet d'accompagnement.</w:t>
      </w: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Ressources</w:t>
      </w:r>
    </w:p>
    <w:p>
      <w:pPr>
        <w:spacing w:after="120"/>
      </w:pPr>
      <w:r>
        <w:rPr>
          <w:rFonts w:ascii="Times New Roman" w:cs="Times New Roman" w:eastAsia="Times New Roman" w:hAnsi="Times New Roman"/>
          <w:b w:val="false"/>
          <w:bCs w:val="false"/>
          <w:i w:val="false"/>
          <w:iCs w:val="false"/>
          <w:color w:val="1F2937"/>
          <w:sz w:val="22"/>
          <w:szCs w:val="22"/>
        </w:rPr>
        <w:t xml:space="preserve">Sources mobilisées dans cette leçon :</w:t>
      </w:r>
    </w:p>
    <w:p>
      <w:pPr>
        <w:spacing w:after="80"/>
      </w:pPr>
    </w:p>
    <w:p>
      <w:pPr>
        <w:pStyle w:val="ListParagraph"/>
        <w:numPr>
          <w:ilvl w:val="0"/>
          <w:numId w:val="1"/>
        </w:numPr>
        <w:spacing w:after="100"/>
      </w:pPr>
      <w:hyperlink w:history="1" r:id="rIdo4xquxbspvhygcvoaimky">
        <w:r>
          <w:rPr>
            <w:rFonts w:ascii="Times New Roman" w:cs="Times New Roman" w:eastAsia="Times New Roman" w:hAnsi="Times New Roman"/>
            <w:color w:val="1155CC"/>
            <w:sz w:val="22"/>
            <w:szCs w:val="22"/>
            <w:u w:val="single"/>
          </w:rPr>
          <w:t xml:space="preserve">Internet Encyclopedia of Philosophy — Stoicism (Massimo Pigliucci)</w:t>
        </w:r>
      </w:hyperlink>
      <w:r>
        <w:rPr>
          <w:rFonts w:ascii="Times New Roman" w:cs="Times New Roman" w:eastAsia="Times New Roman" w:hAnsi="Times New Roman"/>
          <w:color w:val="6B7280"/>
          <w:sz w:val="20"/>
          <w:szCs w:val="20"/>
        </w:rPr>
        <w:t xml:space="preserve">  — Article de Massimo Pigliucci — passage sur les émotions stoïciennes, distinctions pathê / eupatheiai</w:t>
      </w:r>
    </w:p>
    <w:p>
      <w:pPr>
        <w:pStyle w:val="ListParagraph"/>
        <w:numPr>
          <w:ilvl w:val="0"/>
          <w:numId w:val="1"/>
        </w:numPr>
        <w:spacing w:after="100"/>
      </w:pPr>
      <w:hyperlink w:history="1" r:id="rIdf_lmd3rty1k8n2ckymnzt">
        <w:r>
          <w:rPr>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6B7280"/>
          <w:sz w:val="20"/>
          <w:szCs w:val="20"/>
        </w:rPr>
        <w:t xml:space="preserve">  — Entrée encyclopédique — argument paresseux (argos logos), co-fatalisme, indifférents</w:t>
      </w:r>
    </w:p>
    <w:p>
      <w:pPr>
        <w:pStyle w:val="ListParagraph"/>
        <w:numPr>
          <w:ilvl w:val="0"/>
          <w:numId w:val="1"/>
        </w:numPr>
        <w:spacing w:after="100"/>
      </w:pPr>
      <w:hyperlink w:history="1" r:id="rIdvj7o8mx3xxyf1zgahmyun">
        <w:r>
          <w:rPr>
            <w:rFonts w:ascii="Times New Roman" w:cs="Times New Roman" w:eastAsia="Times New Roman" w:hAnsi="Times New Roman"/>
            <w:color w:val="1155CC"/>
            <w:sz w:val="22"/>
            <w:szCs w:val="22"/>
            <w:u w:val="single"/>
          </w:rPr>
          <w:t xml:space="preserve">Modern Stoicism Symposium — Stoicism and Passivity, Part 1 (Brittany Polat, Peter Gyulay)</w:t>
        </w:r>
      </w:hyperlink>
      <w:r>
        <w:rPr>
          <w:rFonts w:ascii="Times New Roman" w:cs="Times New Roman" w:eastAsia="Times New Roman" w:hAnsi="Times New Roman"/>
          <w:color w:val="6B7280"/>
          <w:sz w:val="20"/>
          <w:szCs w:val="20"/>
        </w:rPr>
        <w:t xml:space="preserve">  — Symposium en ligne — réfutation du quiétisme ; engagement social stoïcien</w:t>
      </w:r>
    </w:p>
    <w:p>
      <w:pPr>
        <w:pStyle w:val="ListParagraph"/>
        <w:numPr>
          <w:ilvl w:val="0"/>
          <w:numId w:val="1"/>
        </w:numPr>
        <w:spacing w:after="100"/>
      </w:pPr>
      <w:hyperlink w:history="1" r:id="rId--85qig_pmrs4tbn7gz5t">
        <w:r>
          <w:rPr>
            <w:rFonts w:ascii="Times New Roman" w:cs="Times New Roman" w:eastAsia="Times New Roman" w:hAnsi="Times New Roman"/>
            <w:color w:val="1155CC"/>
            <w:sz w:val="22"/>
            <w:szCs w:val="22"/>
            <w:u w:val="single"/>
          </w:rPr>
          <w:t xml:space="preserve">Philosophy Now — The Stoic's Lacuna (Alex Richardson)</w:t>
        </w:r>
      </w:hyperlink>
      <w:r>
        <w:rPr>
          <w:rFonts w:ascii="Times New Roman" w:cs="Times New Roman" w:eastAsia="Times New Roman" w:hAnsi="Times New Roman"/>
          <w:color w:val="6B7280"/>
          <w:sz w:val="20"/>
          <w:szCs w:val="20"/>
        </w:rPr>
        <w:t xml:space="preserve">  — Article d'Alex Richardson — faille structurelle du stoïcisme, quiétisme politique, récupération néolibérale</w:t>
      </w:r>
    </w:p>
    <w:p>
      <w:pPr>
        <w:pStyle w:val="ListParagraph"/>
        <w:numPr>
          <w:ilvl w:val="0"/>
          <w:numId w:val="1"/>
        </w:numPr>
        <w:spacing w:after="100"/>
      </w:pPr>
      <w:hyperlink w:history="1" r:id="rIdxqf_8hrhlzpedlszdsbn9">
        <w:r>
          <w:rPr>
            <w:rFonts w:ascii="Times New Roman" w:cs="Times New Roman" w:eastAsia="Times New Roman" w:hAnsi="Times New Roman"/>
            <w:color w:val="1155CC"/>
            <w:sz w:val="22"/>
            <w:szCs w:val="22"/>
            <w:u w:val="single"/>
          </w:rPr>
          <w:t xml:space="preserve">Stoa Gallica — L'apathie des stoïciens (Maël Goarzin)</w:t>
        </w:r>
      </w:hyperlink>
      <w:r>
        <w:rPr>
          <w:rFonts w:ascii="Times New Roman" w:cs="Times New Roman" w:eastAsia="Times New Roman" w:hAnsi="Times New Roman"/>
          <w:color w:val="6B7280"/>
          <w:sz w:val="20"/>
          <w:szCs w:val="20"/>
        </w:rPr>
        <w:t xml:space="preserve">  — Article de Maël Goarzin (docteur en philosophie) — distinction pathê / propatheiai / eupatheiai en français</w:t>
      </w:r>
    </w:p>
    <w:p>
      <w:pPr>
        <w:pStyle w:val="ListParagraph"/>
        <w:numPr>
          <w:ilvl w:val="0"/>
          <w:numId w:val="1"/>
        </w:numPr>
        <w:spacing w:after="100"/>
      </w:pPr>
      <w:hyperlink w:history="1" r:id="rIdjkcac0xkm_pfh-6b2t7nm">
        <w:r>
          <w:rPr>
            <w:rFonts w:ascii="Times New Roman" w:cs="Times New Roman" w:eastAsia="Times New Roman" w:hAnsi="Times New Roman"/>
            <w:color w:val="1155CC"/>
            <w:sz w:val="22"/>
            <w:szCs w:val="22"/>
            <w:u w:val="single"/>
          </w:rPr>
          <w:t xml:space="preserve">Daily Stoic — Stoicism, Feminism, and Autonomy : interview de Emily McGill et Scott Aikin</w:t>
        </w:r>
      </w:hyperlink>
      <w:r>
        <w:rPr>
          <w:rFonts w:ascii="Times New Roman" w:cs="Times New Roman" w:eastAsia="Times New Roman" w:hAnsi="Times New Roman"/>
          <w:color w:val="6B7280"/>
          <w:sz w:val="20"/>
          <w:szCs w:val="20"/>
        </w:rPr>
        <w:t xml:space="preserve">  — Entretien conduit par Ryan Holiday — bilan inégal du stoïcisme antique sur la question des femmes</w:t>
      </w:r>
    </w:p>
    <w:p>
      <w:pPr>
        <w:pStyle w:val="ListParagraph"/>
        <w:numPr>
          <w:ilvl w:val="0"/>
          <w:numId w:val="1"/>
        </w:numPr>
        <w:spacing w:after="100"/>
      </w:pPr>
      <w:hyperlink w:history="1" r:id="rIdzswpxgwyglokbr0h1tazq">
        <w:r>
          <w:rPr>
            <w:rFonts w:ascii="Times New Roman" w:cs="Times New Roman" w:eastAsia="Times New Roman" w:hAnsi="Times New Roman"/>
            <w:color w:val="1155CC"/>
            <w:sz w:val="22"/>
            <w:szCs w:val="22"/>
            <w:u w:val="single"/>
          </w:rPr>
          <w:t xml:space="preserve">La Vie des idées — Le stoïcisme revisité (Normand Doiron)</w:t>
        </w:r>
      </w:hyperlink>
      <w:r>
        <w:rPr>
          <w:rFonts w:ascii="Times New Roman" w:cs="Times New Roman" w:eastAsia="Times New Roman" w:hAnsi="Times New Roman"/>
          <w:color w:val="6B7280"/>
          <w:sz w:val="20"/>
          <w:szCs w:val="20"/>
        </w:rPr>
        <w:t xml:space="preserve">  — Recension par Normand Doiron du livre de Jacqueline Lagrée sur le néostoïcisme — Pascal, Malebranche, Leibniz</w:t>
      </w:r>
    </w:p>
    <w:p>
      <w:pPr>
        <w:pBdr>
          <w:bottom w:val="single" w:color="E5E7EB" w:sz="6" w:space="1"/>
        </w:pBdr>
        <w:spacing w:after="160"/>
      </w:pPr>
    </w:p>
    <w:p>
      <w:pPr>
        <w:spacing w:after="140" w:before="28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20 / 20 — BILAN : Synthèse du parcours, une pratique quotidienne tenable, et ce que le stoïcisme ne peut pas faire.</w:t>
      </w:r>
    </w:p>
    <w:p>
      <w:pPr>
        <w:spacing w:after="120"/>
      </w:pPr>
      <w:r>
        <w:rPr>
          <w:rFonts w:ascii="Times New Roman" w:cs="Times New Roman" w:eastAsia="Times New Roman" w:hAnsi="Times New Roman"/>
          <w:b w:val="false"/>
          <w:bCs w:val="false"/>
          <w:i w:val="false"/>
          <w:iCs w:val="false"/>
          <w:color w:val="1F2937"/>
          <w:sz w:val="22"/>
          <w:szCs w:val="22"/>
        </w:rPr>
        <w:t xml:space="preserve">La dernière leçon sera un bilan complet : retour sur les 19 thèmes du parcours, mise en relation des concepts clés, identification de ce qui n'a pas pu être traité, et proposition d'une pratique stoïcienne personnelle tenable — avec ses limites assumées.</w:t>
      </w:r>
    </w:p>
    <w:p>
      <w:pPr>
        <w:spacing w:after="120"/>
      </w:pPr>
      <w:r>
        <w:rPr>
          <w:rFonts w:ascii="Times New Roman" w:cs="Times New Roman" w:eastAsia="Times New Roman" w:hAnsi="Times New Roman"/>
          <w:b w:val="false"/>
          <w:bCs w:val="false"/>
          <w:i w:val="false"/>
          <w:iCs w:val="false"/>
          <w:color w:val="1F2937"/>
          <w:sz w:val="22"/>
          <w:szCs w:val="22"/>
        </w:rPr>
        <w:t xml:space="preserve">Après 19 leçons, la question n'est plus « qu'est-ce que le stoïcisme ? » mais « qu'est-ce que je retiens, et comment ? »</w:t>
      </w:r>
    </w:p>
    <w:sectPr>
      <w:pgSz w:w="11906" w:h="16838" w:orient="portrait"/>
      <w:pgMar w:top="10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4xquxbspvhygcvoaimky" Type="http://schemas.openxmlformats.org/officeDocument/2006/relationships/hyperlink" Target="https://iep.utm.edu/stoicism/" TargetMode="External"/><Relationship Id="rIdf_lmd3rty1k8n2ckymnzt" Type="http://schemas.openxmlformats.org/officeDocument/2006/relationships/hyperlink" Target="https://plato.stanford.edu/entries/stoicism/" TargetMode="External"/><Relationship Id="rIdvj7o8mx3xxyf1zgahmyun" Type="http://schemas.openxmlformats.org/officeDocument/2006/relationships/hyperlink" Target="https://modernstoicism.com/online-symposium-contributions-stoicism-and-passivity-part-1/" TargetMode="External"/><Relationship Id="rId--85qig_pmrs4tbn7gz5t" Type="http://schemas.openxmlformats.org/officeDocument/2006/relationships/hyperlink" Target="https://philosophynow.org/issues/145/The_Stoics_Lacuna" TargetMode="External"/><Relationship Id="rIdxqf_8hrhlzpedlszdsbn9" Type="http://schemas.openxmlformats.org/officeDocument/2006/relationships/hyperlink" Target="https://stoagallica.fr/de-lapathie-des-stoiciens-absence-demotions-ou-liberation-des-passions/" TargetMode="External"/><Relationship Id="rIdjkcac0xkm_pfh-6b2t7nm" Type="http://schemas.openxmlformats.org/officeDocument/2006/relationships/hyperlink" Target="https://dailystoic.com/mcgill-aikin-stoicism-feminism-interview/" TargetMode="External"/><Relationship Id="rIdzswpxgwyglokbr0h1tazq" Type="http://schemas.openxmlformats.org/officeDocument/2006/relationships/hyperlink" Target="https://laviedesidees.fr/Le-stoicisme-revisit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2026-10-15T06:13:36.278Z</dcterms:created>
  <dcterms:modified xsi:type="dcterms:W3CDTF">2026-10-15T06:13:36.279Z</dcterms:modified>
</cp:coreProperties>
</file>

<file path=docProps/custom.xml><?xml version="1.0" encoding="utf-8"?>
<Properties xmlns="http://schemas.openxmlformats.org/officeDocument/2006/custom-properties" xmlns:vt="http://schemas.openxmlformats.org/officeDocument/2006/docPropsVTypes"/>
</file>