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color w:val="1B3A6B"/>
          <w:sz w:val="52"/>
          <w:szCs w:val="52"/>
        </w:rPr>
        <w:t xml:space="preserve">Leçon Entretien Motivationnel n°06 — Discordance et situations difficiles</w:t>
      </w:r>
    </w:p>
    <w:p>
      <w:pPr>
        <w:spacing w:after="240"/>
        <w:jc w:val="center"/>
      </w:pPr>
      <w:r>
        <w:rPr>
          <w:rFonts w:ascii="Times New Roman" w:cs="Times New Roman" w:eastAsia="Times New Roman" w:hAnsi="Times New Roman"/>
          <w:b w:val="false"/>
          <w:bCs w:val="false"/>
          <w:i/>
          <w:iCs/>
          <w:color w:val="1B3A6B"/>
          <w:sz w:val="22"/>
          <w:szCs w:val="22"/>
        </w:rPr>
        <w:t xml:space="preserve">13 juillet 2026 · Module Fondamental — leçon 06</w:t>
      </w:r>
    </w:p>
    <w:p>
      <w:pPr>
        <w:spacing w:after="120" w:before="260"/>
      </w:pPr>
      <w:r>
        <w:rPr>
          <w:rFonts w:ascii="Times New Roman" w:cs="Times New Roman" w:eastAsia="Times New Roman" w:hAnsi="Times New Roman"/>
          <w:b/>
          <w:bCs/>
          <w:i w:val="false"/>
          <w:iCs w:val="false"/>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réagir à la discordance dans la relation (ce qu'on appelait « résistance »), composer avec les situations difficiles, et situer l'EM sur le plan éthique.</w:t>
      </w:r>
    </w:p>
    <w:p>
      <w:pPr>
        <w:spacing w:after="120"/>
      </w:pPr>
      <w:r>
        <w:rPr>
          <w:rFonts w:ascii="Times New Roman" w:cs="Times New Roman" w:eastAsia="Times New Roman" w:hAnsi="Times New Roman"/>
          <w:b w:val="false"/>
          <w:bCs w:val="false"/>
          <w:i w:val="false"/>
          <w:iCs w:val="false"/>
          <w:color w:val="1F2937"/>
          <w:sz w:val="22"/>
          <w:szCs w:val="22"/>
        </w:rPr>
        <w:t xml:space="preserve">Rappel de continuité : </w:t>
      </w:r>
      <w:r>
        <w:rPr>
          <w:rFonts w:ascii="Times New Roman" w:cs="Times New Roman" w:eastAsia="Times New Roman" w:hAnsi="Times New Roman"/>
          <w:b w:val="false"/>
          <w:bCs w:val="false"/>
          <w:i w:val="false"/>
          <w:iCs w:val="false"/>
          <w:color w:val="1F2937"/>
          <w:sz w:val="22"/>
          <w:szCs w:val="22"/>
        </w:rPr>
        <w:t xml:space="preserve">après la structure (n°03), les outils (n°04) et l'évocation (n°05), cette leçon clôt le socle fondamental en traitant les </w:t>
      </w:r>
      <w:r>
        <w:rPr>
          <w:rFonts w:ascii="Times New Roman" w:cs="Times New Roman" w:eastAsia="Times New Roman" w:hAnsi="Times New Roman"/>
          <w:b/>
          <w:bCs/>
          <w:i w:val="false"/>
          <w:iCs w:val="false"/>
          <w:color w:val="1F2937"/>
          <w:sz w:val="22"/>
          <w:szCs w:val="22"/>
        </w:rPr>
        <w:t xml:space="preserve">moments de friction</w:t>
      </w:r>
      <w:r>
        <w:rPr>
          <w:rFonts w:ascii="Times New Roman" w:cs="Times New Roman" w:eastAsia="Times New Roman" w:hAnsi="Times New Roman"/>
          <w:b w:val="false"/>
          <w:bCs w:val="false"/>
          <w:i w:val="false"/>
          <w:iCs w:val="false"/>
          <w:color w:val="1F2937"/>
          <w:sz w:val="22"/>
          <w:szCs w:val="22"/>
        </w:rPr>
        <w:t xml:space="preserve"> et la déontologie.</w:t>
      </w:r>
    </w:p>
    <w:p>
      <w:pPr>
        <w:spacing w:after="120" w:before="260"/>
      </w:pPr>
      <w:r>
        <w:rPr>
          <w:rFonts w:ascii="Times New Roman" w:cs="Times New Roman" w:eastAsia="Times New Roman" w:hAnsi="Times New Roman"/>
          <w:b/>
          <w:bCs/>
          <w:i w:val="false"/>
          <w:iCs w:val="false"/>
          <w:color w:val="1B3A6B"/>
          <w:sz w:val="30"/>
          <w:szCs w:val="30"/>
        </w:rPr>
        <w:t xml:space="preserve">🔬 Théorie (20%)</w:t>
      </w:r>
    </w:p>
    <w:p>
      <w:pPr>
        <w:spacing w:after="80" w:before="160"/>
      </w:pPr>
      <w:r>
        <w:rPr>
          <w:rFonts w:ascii="Times New Roman" w:cs="Times New Roman" w:eastAsia="Times New Roman" w:hAnsi="Times New Roman"/>
          <w:b/>
          <w:bCs/>
          <w:i w:val="false"/>
          <w:iCs w:val="false"/>
          <w:color w:val="1F2937"/>
          <w:sz w:val="26"/>
          <w:szCs w:val="26"/>
        </w:rPr>
        <w:t xml:space="preserve">De la « résistance » à la discordance</w:t>
      </w:r>
    </w:p>
    <w:p>
      <w:pPr>
        <w:spacing w:after="120"/>
      </w:pPr>
      <w:r>
        <w:rPr>
          <w:rFonts w:ascii="Times New Roman" w:cs="Times New Roman" w:eastAsia="Times New Roman" w:hAnsi="Times New Roman"/>
          <w:b w:val="false"/>
          <w:bCs w:val="false"/>
          <w:i w:val="false"/>
          <w:iCs w:val="false"/>
          <w:color w:val="1F2937"/>
          <w:sz w:val="22"/>
          <w:szCs w:val="22"/>
        </w:rPr>
        <w:t xml:space="preserve">L'EM moderne abandonne la notion de « résistance » (qui blâme la personne) au profit de la discordance : un signal sur l'état de la relation, souvent provoqué par un excès de réflexe correcteur ou un cap fixé trop vite. La discordance est une information, pas un affront.</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Signes de discordance : </w:t>
      </w:r>
      <w:r>
        <w:rPr>
          <w:rFonts w:ascii="Times New Roman" w:cs="Times New Roman" w:eastAsia="Times New Roman" w:hAnsi="Times New Roman"/>
          <w:b w:val="false"/>
          <w:bCs w:val="false"/>
          <w:i w:val="false"/>
          <w:iCs w:val="false"/>
          <w:color w:val="1F2937"/>
          <w:sz w:val="22"/>
          <w:szCs w:val="22"/>
        </w:rPr>
        <w:t xml:space="preserve">interruption, argumentation, désengagement, minimisation.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Réponses utiles : </w:t>
      </w:r>
      <w:r>
        <w:rPr>
          <w:rFonts w:ascii="Times New Roman" w:cs="Times New Roman" w:eastAsia="Times New Roman" w:hAnsi="Times New Roman"/>
          <w:b w:val="false"/>
          <w:bCs w:val="false"/>
          <w:i w:val="false"/>
          <w:iCs w:val="false"/>
          <w:color w:val="1F2937"/>
          <w:sz w:val="22"/>
          <w:szCs w:val="22"/>
        </w:rPr>
        <w:t xml:space="preserve">refléter (surtout les reflets d'émotion), s'excuser/recadrer, souligner l'autonomie de la personne, changer d'orientation. Jamais forcer.</w:t>
      </w:r>
    </w:p>
    <w:p>
      <w:pPr>
        <w:pBdr>
          <w:left w:val="single" w:color="1B3A6B" w:sz="18" w:space="8"/>
        </w:pBdr>
        <w:shd w:fill="EEF2F7"/>
        <w:spacing w:after="140" w:before="100"/>
        <w:ind w:left="360"/>
      </w:pPr>
      <w:r>
        <w:rPr>
          <w:rFonts w:ascii="Times New Roman" w:cs="Times New Roman" w:eastAsia="Times New Roman" w:hAnsi="Times New Roman"/>
          <w:b w:val="false"/>
          <w:bCs w:val="false"/>
          <w:i/>
          <w:iCs/>
          <w:color w:val="1B3A6B"/>
          <w:sz w:val="22"/>
          <w:szCs w:val="22"/>
        </w:rPr>
        <w:t xml:space="preserve">Quand la friction monte, ce n'est pas le moment de pousser plus fort : c'est le signe qu'il faut revenir à l'engagement.</w:t>
      </w:r>
      <w:r>
        <w:rPr>
          <w:rFonts w:ascii="Times New Roman" w:cs="Times New Roman" w:eastAsia="Times New Roman" w:hAnsi="Times New Roman"/>
          <w:b w:val="false"/>
          <w:bCs w:val="false"/>
          <w:i/>
          <w:iCs/>
          <w:color w:val="1B3A6B"/>
          <w:sz w:val="20"/>
          <w:szCs w:val="20"/>
        </w:rPr>
        <w:t xml:space="preserve">  — Composer avec la discordance</w:t>
      </w:r>
    </w:p>
    <w:p>
      <w:pPr>
        <w:spacing w:after="80" w:before="160"/>
      </w:pPr>
      <w:r>
        <w:rPr>
          <w:rFonts w:ascii="Times New Roman" w:cs="Times New Roman" w:eastAsia="Times New Roman" w:hAnsi="Times New Roman"/>
          <w:b/>
          <w:bCs/>
          <w:i w:val="false"/>
          <w:iCs w:val="false"/>
          <w:color w:val="1F2937"/>
          <w:sz w:val="26"/>
          <w:szCs w:val="26"/>
        </w:rPr>
        <w:t xml:space="preserve">L'éthique : l'EM n'est pas de la manipulation</w:t>
      </w:r>
    </w:p>
    <w:p>
      <w:pPr>
        <w:spacing w:after="120"/>
      </w:pPr>
      <w:r>
        <w:rPr>
          <w:rFonts w:ascii="Times New Roman" w:cs="Times New Roman" w:eastAsia="Times New Roman" w:hAnsi="Times New Roman"/>
          <w:b w:val="false"/>
          <w:bCs w:val="false"/>
          <w:i w:val="false"/>
          <w:iCs w:val="false"/>
          <w:color w:val="1F2937"/>
          <w:sz w:val="22"/>
          <w:szCs w:val="22"/>
        </w:rPr>
        <w:t xml:space="preserve">L'EM fait émerger les motivations PROPRES de la personne, au service de SES objectifs, dans le respect de son autonomie. Utiliser ces techniques pour amener quelqu'un là où IL ne veut pas aller trahit l'esprit (PACE) et devient de la manipulation. L'intention et la transparence font la différence. Rappel : la maîtrise réelle suppose pratique supervisée et formation certifiée (MINT/AFDEM).</w:t>
      </w:r>
    </w:p>
    <w:p>
      <w:pPr>
        <w:spacing w:after="120" w:before="260"/>
      </w:pPr>
      <w:r>
        <w:rPr>
          <w:rFonts w:ascii="Times New Roman" w:cs="Times New Roman" w:eastAsia="Times New Roman" w:hAnsi="Times New Roman"/>
          <w:b/>
          <w:bCs/>
          <w:i w:val="false"/>
          <w:iCs w:val="false"/>
          <w:color w:val="1B3A6B"/>
          <w:sz w:val="30"/>
          <w:szCs w:val="30"/>
        </w:rPr>
        <w:t xml:space="preserve">🛠️ Pratique (80%)</w:t>
      </w:r>
    </w:p>
    <w:p>
      <w:pPr>
        <w:spacing w:after="80" w:before="160"/>
      </w:pPr>
      <w:r>
        <w:rPr>
          <w:rFonts w:ascii="Times New Roman" w:cs="Times New Roman" w:eastAsia="Times New Roman" w:hAnsi="Times New Roman"/>
          <w:b/>
          <w:bCs/>
          <w:i w:val="false"/>
          <w:iCs w:val="false"/>
          <w:color w:val="1F2937"/>
          <w:sz w:val="26"/>
          <w:szCs w:val="26"/>
        </w:rPr>
        <w:t xml:space="preserve">Exercice 1 — Lire la discordance</w:t>
      </w:r>
    </w:p>
    <w:p>
      <w:pPr>
        <w:spacing w:after="120"/>
      </w:pPr>
      <w:r>
        <w:rPr>
          <w:rFonts w:ascii="Times New Roman" w:cs="Times New Roman" w:eastAsia="Times New Roman" w:hAnsi="Times New Roman"/>
          <w:b w:val="false"/>
          <w:bCs w:val="false"/>
          <w:i w:val="false"/>
          <w:iCs w:val="false"/>
          <w:color w:val="1F2937"/>
          <w:sz w:val="22"/>
          <w:szCs w:val="22"/>
        </w:rPr>
        <w:t xml:space="preserve">À partir de 5 réactions (« Vous ne comprenez pas ma situation », silence, changement de sujet…), identifie ce que le signal dit de la relation et écris une réponse qui apaise (reflet, autonomie) plutôt qu'elle n'insiste.</w:t>
      </w:r>
    </w:p>
    <w:p>
      <w:pPr>
        <w:spacing w:after="80" w:before="160"/>
      </w:pPr>
      <w:r>
        <w:rPr>
          <w:rFonts w:ascii="Times New Roman" w:cs="Times New Roman" w:eastAsia="Times New Roman" w:hAnsi="Times New Roman"/>
          <w:b/>
          <w:bCs/>
          <w:i w:val="false"/>
          <w:iCs w:val="false"/>
          <w:color w:val="1F2937"/>
          <w:sz w:val="26"/>
          <w:szCs w:val="26"/>
        </w:rPr>
        <w:t xml:space="preserve">Exercice 2 — Le test éthique</w:t>
      </w:r>
    </w:p>
    <w:p>
      <w:pPr>
        <w:spacing w:after="120"/>
      </w:pPr>
      <w:r>
        <w:rPr>
          <w:rFonts w:ascii="Times New Roman" w:cs="Times New Roman" w:eastAsia="Times New Roman" w:hAnsi="Times New Roman"/>
          <w:b w:val="false"/>
          <w:bCs w:val="false"/>
          <w:i w:val="false"/>
          <w:iCs w:val="false"/>
          <w:color w:val="1F2937"/>
          <w:sz w:val="22"/>
          <w:szCs w:val="22"/>
        </w:rPr>
        <w:t xml:space="preserve">Prends 3 situations où tu utiliserais l'EM. Pour chacune, réponds honnêtement : est-ce au service des objectifs de la PERSONNE, ou des miens ? Si c'est des miens, réécris l'intention. Cet auto-examen est le garde-fou central de la pratique.</w:t>
      </w:r>
    </w:p>
    <w:p>
      <w:pPr>
        <w:spacing w:after="80" w:before="160"/>
      </w:pPr>
      <w:r>
        <w:rPr>
          <w:rFonts w:ascii="Times New Roman" w:cs="Times New Roman" w:eastAsia="Times New Roman" w:hAnsi="Times New Roman"/>
          <w:b/>
          <w:bCs/>
          <w:i w:val="false"/>
          <w:iCs w:val="false"/>
          <w:color w:val="1F2937"/>
          <w:sz w:val="26"/>
          <w:szCs w:val="26"/>
        </w:rPr>
        <w:t xml:space="preserve">Exercice 3 — Jeu de rôle de désescalade</w:t>
      </w:r>
    </w:p>
    <w:p>
      <w:pPr>
        <w:spacing w:after="120"/>
      </w:pPr>
      <w:r>
        <w:rPr>
          <w:rFonts w:ascii="Times New Roman" w:cs="Times New Roman" w:eastAsia="Times New Roman" w:hAnsi="Times New Roman"/>
          <w:b w:val="false"/>
          <w:bCs w:val="false"/>
          <w:i w:val="false"/>
          <w:iCs w:val="false"/>
          <w:color w:val="1F2937"/>
          <w:sz w:val="22"/>
          <w:szCs w:val="22"/>
        </w:rPr>
        <w:t xml:space="preserve">Écris un échange (8 répliques) où la friction monte puis redescend uniquement grâce à des reflets et au soulignement de l'autonomie (« C'est vous qui décidez »). Note le moment de bascule.</w:t>
      </w:r>
    </w:p>
    <w:p>
      <w:pPr>
        <w:spacing w:after="120" w:before="260"/>
      </w:pPr>
      <w:r>
        <w:rPr>
          <w:rFonts w:ascii="Times New Roman" w:cs="Times New Roman" w:eastAsia="Times New Roman" w:hAnsi="Times New Roman"/>
          <w:b/>
          <w:bCs/>
          <w:i w:val="false"/>
          <w:iCs w:val="false"/>
          <w:color w:val="1B3A6B"/>
          <w:sz w:val="30"/>
          <w:szCs w:val="30"/>
        </w:rPr>
        <w:t xml:space="preserve">🎯 Challenge</w:t>
      </w:r>
    </w:p>
    <w:p>
      <w:pPr>
        <w:spacing w:after="120"/>
      </w:pPr>
      <w:r>
        <w:rPr>
          <w:rFonts w:ascii="Times New Roman" w:cs="Times New Roman" w:eastAsia="Times New Roman" w:hAnsi="Times New Roman"/>
          <w:b w:val="false"/>
          <w:bCs w:val="false"/>
          <w:i w:val="false"/>
          <w:iCs w:val="false"/>
          <w:color w:val="1F2937"/>
          <w:sz w:val="22"/>
          <w:szCs w:val="22"/>
        </w:rPr>
        <w:t xml:space="preserve">Rédige ta « charte EM personnelle » (8-10 lignes) : ce que tu t'engages à faire (écouter l'ambivalence, évoquer, respecter l'autonomie) et à NE PAS faire (réflexe correcteur, manipulation, planifier trop tôt). Cette charte synthétise tout le module fondamental (leçons 01→06).</w:t>
      </w:r>
    </w:p>
    <w:p>
      <w:pPr>
        <w:spacing w:after="120" w:before="260"/>
      </w:pPr>
      <w:r>
        <w:rPr>
          <w:rFonts w:ascii="Times New Roman" w:cs="Times New Roman" w:eastAsia="Times New Roman" w:hAnsi="Times New Roman"/>
          <w:b/>
          <w:bCs/>
          <w:i w:val="false"/>
          <w:iCs w:val="false"/>
          <w:color w:val="1B3A6B"/>
          <w:sz w:val="30"/>
          <w:szCs w:val="30"/>
        </w:rPr>
        <w:t xml:space="preserve">🌉 Pont pro (ESSMS)</w:t>
      </w:r>
    </w:p>
    <w:p>
      <w:pPr>
        <w:spacing w:after="120"/>
      </w:pPr>
      <w:r>
        <w:rPr>
          <w:rFonts w:ascii="Times New Roman" w:cs="Times New Roman" w:eastAsia="Times New Roman" w:hAnsi="Times New Roman"/>
          <w:b w:val="false"/>
          <w:bCs w:val="false"/>
          <w:i w:val="false"/>
          <w:iCs w:val="false"/>
          <w:color w:val="1F2937"/>
          <w:sz w:val="22"/>
          <w:szCs w:val="22"/>
        </w:rPr>
        <w:t xml:space="preserve">Discordance et éthique sont au cœur du métier de chef de service : lire un désengagement d'équipe comme un signal relationnel (non comme de la mauvaise volonté), et veiller à ce que la posture motivationnelle serve la personne accompagnée — respect de l'autodétermination — et jamais une adhésion forcée.</w:t>
      </w:r>
    </w:p>
    <w:p>
      <w:pPr>
        <w:spacing w:after="120" w:before="260"/>
      </w:pPr>
      <w:r>
        <w:rPr>
          <w:rFonts w:ascii="Times New Roman" w:cs="Times New Roman" w:eastAsia="Times New Roman" w:hAnsi="Times New Roman"/>
          <w:b/>
          <w:bCs/>
          <w:i w:val="false"/>
          <w:iCs w:val="false"/>
          <w:color w:val="1B3A6B"/>
          <w:sz w:val="30"/>
          <w:szCs w:val="30"/>
        </w:rPr>
        <w:t xml:space="preserve">📚 Ressources cliquables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gvvmxhy_bt0keswg8rwor">
        <w:r>
          <w:rPr>
            <w:rFonts w:ascii="Times New Roman" w:cs="Times New Roman" w:eastAsia="Times New Roman" w:hAnsi="Times New Roman"/>
            <w:b w:val="false"/>
            <w:bCs w:val="false"/>
            <w:i w:val="false"/>
            <w:iCs w:val="false"/>
            <w:color w:val="1155CC"/>
            <w:sz w:val="22"/>
            <w:szCs w:val="22"/>
            <w:u w:val="single"/>
          </w:rPr>
          <w:t xml:space="preserve">Motivational interviewing — Wikipedia</w:t>
        </w:r>
      </w:hyperlink>
      <w:r>
        <w:rPr>
          <w:rFonts w:ascii="Times New Roman" w:cs="Times New Roman" w:eastAsia="Times New Roman" w:hAnsi="Times New Roman"/>
          <w:b w:val="false"/>
          <w:bCs w:val="false"/>
          <w:i w:val="false"/>
          <w:iCs w:val="false"/>
          <w:color w:val="1F2937"/>
          <w:sz w:val="22"/>
          <w:szCs w:val="22"/>
        </w:rPr>
        <w:t xml:space="preserve"> — vue d'ensemble : esprit, processus, OARS (EN)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fvjkwiruk_sg-f-rmrloi">
        <w:r>
          <w:rPr>
            <w:rFonts w:ascii="Times New Roman" w:cs="Times New Roman" w:eastAsia="Times New Roman" w:hAnsi="Times New Roman"/>
            <w:b w:val="false"/>
            <w:bCs w:val="false"/>
            <w:i w:val="false"/>
            <w:iCs w:val="false"/>
            <w:color w:val="1155CC"/>
            <w:sz w:val="22"/>
            <w:szCs w:val="22"/>
            <w:u w:val="single"/>
          </w:rPr>
          <w:t xml:space="preserve">MINT — Glossary of Motivational Interviewing Terms (PDF)</w:t>
        </w:r>
      </w:hyperlink>
      <w:r>
        <w:rPr>
          <w:rFonts w:ascii="Times New Roman" w:cs="Times New Roman" w:eastAsia="Times New Roman" w:hAnsi="Times New Roman"/>
          <w:b w:val="false"/>
          <w:bCs w:val="false"/>
          <w:i w:val="false"/>
          <w:iCs w:val="false"/>
          <w:color w:val="1F2937"/>
          <w:sz w:val="22"/>
          <w:szCs w:val="22"/>
        </w:rPr>
        <w:t xml:space="preserve"> — définitions de référence</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erk8-tv0yhocuesif9led">
        <w:r>
          <w:rPr>
            <w:rFonts w:ascii="Times New Roman" w:cs="Times New Roman" w:eastAsia="Times New Roman" w:hAnsi="Times New Roman"/>
            <w:b w:val="false"/>
            <w:bCs w:val="false"/>
            <w:i w:val="false"/>
            <w:iCs w:val="false"/>
            <w:color w:val="1155CC"/>
            <w:sz w:val="22"/>
            <w:szCs w:val="22"/>
            <w:u w:val="single"/>
          </w:rPr>
          <w:t xml:space="preserve">MINT — réseau officiel des formateurs</w:t>
        </w:r>
      </w:hyperlink>
      <w:r>
        <w:rPr>
          <w:rFonts w:ascii="Times New Roman" w:cs="Times New Roman" w:eastAsia="Times New Roman" w:hAnsi="Times New Roman"/>
          <w:b w:val="false"/>
          <w:bCs w:val="false"/>
          <w:i w:val="false"/>
          <w:iCs w:val="false"/>
          <w:color w:val="1F2937"/>
          <w:sz w:val="22"/>
          <w:szCs w:val="22"/>
        </w:rPr>
        <w:t xml:space="preserve"> — ressources et formation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val="false"/>
          <w:bCs w:val="false"/>
          <w:i w:val="false"/>
          <w:iCs w:val="false"/>
          <w:color w:val="1F2937"/>
          <w:sz w:val="22"/>
          <w:szCs w:val="22"/>
        </w:rPr>
        <w:t xml:space="preserve">AFDEM — ressources francophones sur l'EM</w:t>
      </w:r>
      <w:r>
        <w:rPr>
          <w:rFonts w:ascii="Times New Roman" w:cs="Times New Roman" w:eastAsia="Times New Roman" w:hAnsi="Times New Roman"/>
          <w:b w:val="false"/>
          <w:bCs w:val="false"/>
          <w:i w:val="false"/>
          <w:iCs w:val="false"/>
          <w:color w:val="1F2937"/>
          <w:sz w:val="22"/>
          <w:szCs w:val="22"/>
        </w:rPr>
        <w:t xml:space="preserve"> — association francophone</w:t>
      </w:r>
      <w:r>
        <w:rPr>
          <w:rFonts w:ascii="Times New Roman" w:cs="Times New Roman" w:eastAsia="Times New Roman" w:hAnsi="Times New Roman"/>
          <w:color w:val="1F2937"/>
        </w:rPr>
        <w:t xml:space="preserve"> (www.entretienmotivationnel.org, hyperlien retiré)</w:t>
      </w:r>
      <w:r>
        <w:rPr>
          <w:rFonts w:ascii="Times New Roman" w:cs="Times New Roman" w:eastAsia="Times New Roman" w:hAnsi="Times New Roman"/>
          <w:i/>
          <w:iCs/>
          <w:color w:val="6B7280"/>
          <w:sz w:val="20"/>
          <w:szCs w:val="20"/>
        </w:rPr>
        <w:t xml:space="preserve">   [Corrigé le 25/10/2026 : adresse d'origine « https://www.entretienmotivationnel.org/ » ; son certificat est celui de l'hébergement mutualisé OVH, « cluster110.hosting.ovh.net » renouvelé le 19/10/2026, et AUCUN nom alternatif n'y couvre le domaine — curl exit 60, « no alternative certificate subject name matches target host name ». Mais le site, lui, est VIVANT : http://www.entretienmotivationnel.org/ rend HTTP 200 et 13 403 caractères utiles, où « AFDEM » et « Association Francophone de Diffusion de l'Entretien Motivationnel » figurent littéralement (mesuré le 25/10/2026) — l'hyperlien passe donc à http://, faute de mieux : l'Internet Archive n'offre pas de recours : son dernier instantané de ce site date du 12/12/2019, sept ans avant la lecture. Détail au journal.]</w:t>
      </w:r>
      <w:r>
        <w:rPr>
          <w:rFonts w:ascii="Times New Roman" w:cs="Times New Roman" w:eastAsia="Times New Roman" w:hAnsi="Times New Roman"/>
          <w:i/>
          <w:iCs/>
          <w:color w:val="6B7280"/>
          <w:sz w:val="20"/>
          <w:szCs w:val="20"/>
        </w:rPr>
        <w:t xml:space="preserve">   [Corrigé le 26/10/2026 : hyperlien RETIRÉ, adresse conservée en clair. Le repointage vers « http://www.entretienmotivationnel.org/ » du 25/10/2026 est ANNULÉ : un lien non chiffré est un lien qu'un navigateur en HTTPS-first peut refuser, et le choix est fait ici pour la rigueur plutôt que pour l'accès. Le site reste joignable à la main en http — HTTP 200 et 13 403 caractères utiles mesurés le 25/10/2026 — mais son certificat est celui de l'hébergement mutualisé OVH « cluster110.hosting.ovh.net », qui ne porte aucun nom alternatif couvrant le domaine (curl exit 60). Adresse d'origine du lien : « https://www.entretienmotivationnel.org/ ».]</w:t>
      </w:r>
    </w:p>
    <w:p>
      <w:pPr>
        <w:spacing w:after="120" w:before="260"/>
      </w:pPr>
      <w:r>
        <w:rPr>
          <w:rFonts w:ascii="Times New Roman" w:cs="Times New Roman" w:eastAsia="Times New Roman" w:hAnsi="Times New Roman"/>
          <w:b/>
          <w:bCs/>
          <w:i w:val="false"/>
          <w:iCs w:val="false"/>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n°07 — Intégration et entraînement : fidélité à l'EM (aperçu du MITI), plan de pratique, et posture motivationnelle en équipe.</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Adresse de l'AFDEM — l'hyperlien passe de https:// à http://, et ce n'est pas une page morte mais un certificat. Mesuré le 25/10/2026 : son certificat est celui de l'hébergement mutualisé OVH, « cluster110.hosting.ovh.net » renouvelé le 19/10/2026, et AUCUN nom alternatif n'y couvre le domaine — curl exit 60, « no alternative certificate subject name matches target host name ». En revanche le site, lui, est VIVANT : http://www.entretienmotivationnel.org/ rend HTTP 200 et 13 403 caractères utiles, où « AFDEM » et « Association Francophone de Diffusion de l'Entretien Motivationnel » figurent littéralement (mesuré le 25/10/2026).</w:t>
      </w:r>
    </w:p>
    <w:p>
      <w:pPr>
        <w:spacing w:after="80"/>
      </w:pPr>
      <w:r>
        <w:rPr>
          <w:rFonts w:ascii="Times New Roman" w:cs="Times New Roman" w:eastAsia="Times New Roman" w:hAnsi="Times New Roman"/>
          <w:color w:val="1F2937"/>
          <w:sz w:val="22"/>
          <w:szCs w:val="22"/>
        </w:rPr>
        <w:t xml:space="preserve">Pourquoi http:// plutôt qu'une archive : l'Internet Archive n'offre pas de recours : son dernier instantané de ce site date du 12/12/2019, sept ans avant la lecture, et une page d'actualités de 2019 ne serait plus la ressource que ce libellé annonce. Pourquoi http:// plutôt qu'un lien laissé cassé : la règle du dépôt veut qu'un lecteur qui clique arrive quelque part, et cette adresse-là répond. ⚠️ Le coût est dit : http:// n'est pas chiffré, et un navigateur réglé en « HTTPS d'abord » peut tenter https:// et échouer. C'est la seule voie qui mène aujourd'hui au site réel.</w:t>
      </w:r>
    </w:p>
    <w:p>
      <w:pPr>
        <w:spacing w:after="120" w:before="320"/>
      </w:pPr>
      <w:r>
        <w:rPr>
          <w:rFonts w:ascii="Times New Roman" w:cs="Times New Roman" w:eastAsia="Times New Roman" w:hAnsi="Times New Roman"/>
          <w:b/>
          <w:bCs/>
          <w:color w:val="1B3A6B"/>
          <w:sz w:val="28"/>
          <w:szCs w:val="28"/>
        </w:rPr>
        <w:t xml:space="preserve">📝 Journal des corrections — 26 octobre 2026</w:t>
      </w:r>
    </w:p>
    <w:p>
      <w:pPr>
        <w:spacing w:after="80"/>
      </w:pPr>
      <w:r>
        <w:rPr>
          <w:rFonts w:ascii="Times New Roman" w:cs="Times New Roman" w:eastAsia="Times New Roman" w:hAnsi="Times New Roman"/>
          <w:color w:val="1F2937"/>
          <w:sz w:val="22"/>
          <w:szCs w:val="22"/>
        </w:rPr>
        <w:t xml:space="preserve">Hyperlien retiré sur la ligne de ressource AFDEM, adresse conservée en clair. Le 25/10/2026, cette adresse avait été repointée de https:// vers http:// pour préserver l'accès à un site vivant ; ce choix est ANNULÉ le 26/10/2026 au profit de la rigueur. Motif : un lien en http n'est pas chiffré, et un navigateur en HTTPS-first peut le refuser là où curl réussit — le lecteur se retrouvait devant un lien qui échoue sans lui dire pourquoi. Ce qui est mesuré et ne change pas : le site RÉPOND (HTTP 200, 13 403 caractères utiles le 25/10/2026, « AFDEM » et son nom développé appariés au degré ①), et son certificat est celui de l'hébergement mutualisé OVH « cluster110.hosting.ovh.net », renouvelé le 19/10/2026, sans nom alternatif couvrant le domaine (curl exit 60, « no alternative certificate subject name matches target host name »). La ressource n'est donc pas morte : elle n'est plus cliquable, et son adresse reste lisible pour qui veut la saisir à la main. Adresse d'origine du lien : « https://www.entretienmotivationnel.org/ ».</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vvmxhy_bt0keswg8rwor" Type="http://schemas.openxmlformats.org/officeDocument/2006/relationships/hyperlink" Target="https://en.wikipedia.org/wiki/Motivational_interviewing" TargetMode="External"/><Relationship Id="rIdfvjkwiruk_sg-f-rmrloi" Type="http://schemas.openxmlformats.org/officeDocument/2006/relationships/hyperlink" Target="https://motivationalinterviewing.org/sites/default/files/glossary_of_mi_terms-1.pdf" TargetMode="External"/><Relationship Id="rIderk8-tv0yhocuesif9led" Type="http://schemas.openxmlformats.org/officeDocument/2006/relationships/hyperlink" Target="https://motivationalinterviewing.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2026-07-13T08:41:42.345Z</dcterms:created>
  <dcterms:modified xsi:type="dcterms:W3CDTF">2026-07-13T08:41:42.345Z</dcterms:modified>
</cp:coreProperties>
</file>

<file path=docProps/custom.xml><?xml version="1.0" encoding="utf-8"?>
<Properties xmlns="http://schemas.openxmlformats.org/officeDocument/2006/custom-properties" xmlns:vt="http://schemas.openxmlformats.org/officeDocument/2006/docPropsVTypes"/>
</file>