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Psychopathologie clinique n°19</w:t>
      </w:r>
    </w:p>
    <w:p>
      <w:pPr>
        <w:pStyle w:val="Heading1"/>
        <w:spacing w:after="200" w:before="200"/>
        <w:jc w:val="center"/>
      </w:pPr>
      <w:r>
        <w:rPr>
          <w:rFonts w:ascii="Times New Roman" w:cs="Times New Roman" w:eastAsia="Times New Roman" w:hAnsi="Times New Roman"/>
          <w:b/>
          <w:bCs/>
          <w:color w:val="1B3A6B"/>
          <w:sz w:val="52"/>
          <w:szCs w:val="52"/>
        </w:rPr>
        <w:t xml:space="preserve">Éthique, consentement et contrainte en santé mentale</w:t>
      </w:r>
    </w:p>
    <w:p>
      <w:pPr>
        <w:spacing w:after="60"/>
        <w:jc w:val="center"/>
      </w:pPr>
      <w:r>
        <w:rPr>
          <w:rFonts w:ascii="Times New Roman" w:cs="Times New Roman" w:eastAsia="Times New Roman" w:hAnsi="Times New Roman"/>
          <w:i/>
          <w:iCs/>
          <w:color w:val="1B3A6B"/>
          <w:sz w:val="22"/>
          <w:szCs w:val="22"/>
        </w:rPr>
        <w:t xml:space="preserve">5 octobre 2026  ·  Leçon 19 / 20</w:t>
      </w:r>
    </w:p>
    <w:p>
      <w:pPr>
        <w:pBdr>
          <w:bottom w:val="single" w:color="1B3A6B" w:sz="6"/>
        </w:pBdr>
        <w:spacing w:after="160" w:before="160"/>
      </w:pPr>
      <w:r>
        <w:t xml:space="preserve"/>
      </w:r>
    </w:p>
    <w:p>
      <w:pPr>
        <w:pStyle w:val="Heading2"/>
        <w:spacing w:after="120" w:before="240"/>
      </w:pPr>
      <w:r>
        <w:rPr>
          <w:rFonts w:ascii="Times New Roman" w:cs="Times New Roman" w:eastAsia="Times New Roman" w:hAnsi="Times New Roman"/>
          <w:b/>
          <w:bCs/>
          <w:color w:val="1B3A6B"/>
          <w:sz w:val="30"/>
          <w:szCs w:val="30"/>
        </w:rPr>
        <w:t xml:space="preserve">🎯 Objectif &amp; continuité</w:t>
      </w:r>
    </w:p>
    <w:p>
      <w:pPr>
        <w:spacing w:after="100"/>
      </w:pPr>
      <w:r>
        <w:rPr>
          <w:rFonts w:ascii="Times New Roman" w:cs="Times New Roman" w:eastAsia="Times New Roman" w:hAnsi="Times New Roman"/>
          <w:color w:val="1F2937"/>
          <w:sz w:val="22"/>
          <w:szCs w:val="22"/>
        </w:rPr>
        <w:t xml:space="preserve">À l'issue de cette leçon, tu seras en mesure de </w:t>
      </w:r>
      <w:r>
        <w:rPr>
          <w:rFonts w:ascii="Times New Roman" w:cs="Times New Roman" w:eastAsia="Times New Roman" w:hAnsi="Times New Roman"/>
          <w:b/>
          <w:bCs/>
          <w:color w:val="1F2937"/>
          <w:sz w:val="22"/>
          <w:szCs w:val="22"/>
        </w:rPr>
        <w:t xml:space="preserve">distinguer les modalités de soins psychiatriques</w:t>
      </w:r>
      <w:r>
        <w:rPr>
          <w:rFonts w:ascii="Times New Roman" w:cs="Times New Roman" w:eastAsia="Times New Roman" w:hAnsi="Times New Roman"/>
          <w:color w:val="1F2937"/>
          <w:sz w:val="22"/>
          <w:szCs w:val="22"/>
        </w:rPr>
        <w:t xml:space="preserve"> (libres et sans consentement), d'</w:t>
      </w:r>
      <w:r>
        <w:rPr>
          <w:rFonts w:ascii="Times New Roman" w:cs="Times New Roman" w:eastAsia="Times New Roman" w:hAnsi="Times New Roman"/>
          <w:b/>
          <w:bCs/>
          <w:color w:val="1F2937"/>
          <w:sz w:val="22"/>
          <w:szCs w:val="22"/>
        </w:rPr>
        <w:t xml:space="preserve">identifier le cadre légal et éthique</w:t>
      </w:r>
      <w:r>
        <w:rPr>
          <w:rFonts w:ascii="Times New Roman" w:cs="Times New Roman" w:eastAsia="Times New Roman" w:hAnsi="Times New Roman"/>
          <w:color w:val="1F2937"/>
          <w:sz w:val="22"/>
          <w:szCs w:val="22"/>
        </w:rPr>
        <w:t xml:space="preserve"> des mesures coercitives (isolement, contention) et de </w:t>
      </w:r>
      <w:r>
        <w:rPr>
          <w:rFonts w:ascii="Times New Roman" w:cs="Times New Roman" w:eastAsia="Times New Roman" w:hAnsi="Times New Roman"/>
          <w:b/>
          <w:bCs/>
          <w:color w:val="1F2937"/>
          <w:sz w:val="22"/>
          <w:szCs w:val="22"/>
        </w:rPr>
        <w:t xml:space="preserve">situer les outils d'anticipation</w:t>
      </w:r>
      <w:r>
        <w:rPr>
          <w:rFonts w:ascii="Times New Roman" w:cs="Times New Roman" w:eastAsia="Times New Roman" w:hAnsi="Times New Roman"/>
          <w:color w:val="1F2937"/>
          <w:sz w:val="22"/>
          <w:szCs w:val="22"/>
        </w:rPr>
        <w:t xml:space="preserve"> (directives anticipées, plan de crise conjoint) dans la logique de réduction de la contrainte.</w:t>
      </w:r>
    </w:p>
    <w:p>
      <w:pPr>
        <w:spacing w:after="100"/>
      </w:pPr>
      <w:r>
        <w:rPr>
          <w:rFonts w:ascii="Times New Roman" w:cs="Times New Roman" w:eastAsia="Times New Roman" w:hAnsi="Times New Roman"/>
          <w:b/>
          <w:bCs/>
          <w:color w:val="1F2937"/>
          <w:sz w:val="22"/>
          <w:szCs w:val="22"/>
        </w:rPr>
        <w:t xml:space="preserve">Lien avec la leçon 18 :</w:t>
      </w:r>
      <w:r>
        <w:rPr>
          <w:rFonts w:ascii="Times New Roman" w:cs="Times New Roman" w:eastAsia="Times New Roman" w:hAnsi="Times New Roman"/>
          <w:color w:val="1F2937"/>
          <w:sz w:val="22"/>
          <w:szCs w:val="22"/>
        </w:rPr>
        <w:t xml:space="preserve"> après avoir exploré la réhabilitation psychosociale et le paradigme du rétablissement, cette leçon aborde la tension fondamentale entre autodétermination — valeur centrale du rétablissement — et la nécessité légale de protéger une personne dont les troubles altèrent temporairement la capacité à consentir.</w:t>
      </w:r>
    </w:p>
    <w:p>
      <w:pPr>
        <w:pBdr>
          <w:bottom w:val="single" w:color="1B3A6B" w:sz="6"/>
        </w:pBdr>
        <w:spacing w:after="160" w:before="160"/>
      </w:pPr>
      <w:r>
        <w:t xml:space="preserve"/>
      </w:r>
    </w:p>
    <w:p>
      <w:pPr>
        <w:pStyle w:val="Heading2"/>
        <w:spacing w:after="120" w:before="240"/>
      </w:pPr>
      <w:r>
        <w:rPr>
          <w:rFonts w:ascii="Times New Roman" w:cs="Times New Roman" w:eastAsia="Times New Roman" w:hAnsi="Times New Roman"/>
          <w:b/>
          <w:bCs/>
          <w:color w:val="1B3A6B"/>
          <w:sz w:val="30"/>
          <w:szCs w:val="30"/>
        </w:rPr>
        <w:t xml:space="preserve">🔬 Théorie (20 %) — Cadre éthique, juridique et clinique</w:t>
      </w:r>
    </w:p>
    <w:p>
      <w:pPr>
        <w:pStyle w:val="Heading3"/>
        <w:spacing w:after="100" w:before="160"/>
      </w:pPr>
      <w:r>
        <w:rPr>
          <w:rFonts w:ascii="Times New Roman" w:cs="Times New Roman" w:eastAsia="Times New Roman" w:hAnsi="Times New Roman"/>
          <w:b/>
          <w:bCs/>
          <w:color w:val="1F2937"/>
          <w:sz w:val="26"/>
          <w:szCs w:val="26"/>
        </w:rPr>
        <w:t xml:space="preserve">1. Le consentement aux soins : la règle et son exception</w:t>
      </w:r>
    </w:p>
    <w:p>
      <w:pPr>
        <w:spacing w:after="100" w:before="60"/>
        <w:jc w:val="both"/>
      </w:pPr>
      <w:r>
        <w:rPr>
          <w:rFonts w:ascii="Times New Roman" w:cs="Times New Roman" w:eastAsia="Times New Roman" w:hAnsi="Times New Roman"/>
          <w:color w:val="1F2937"/>
          <w:sz w:val="22"/>
          <w:szCs w:val="22"/>
        </w:rPr>
        <w:t xml:space="preserve">L'article L3211-1 du Code de la santé publique (CSP) pose le principe : une personne ne peut faire l'objet de soins psychiatriques sans son consentement, sauf dans les cas prévus par la loi. Les soins avec consentement sont appelés soins libres (SL) ; la personne dispose alors des mêmes droits liés aux libertés individuelles que tout patient soigné pour une autre cause.</w:t>
      </w:r>
    </w:p>
    <w:p>
      <w:pPr>
        <w:spacing w:after="100" w:before="60"/>
        <w:jc w:val="both"/>
      </w:pPr>
      <w:r>
        <w:rPr>
          <w:rFonts w:ascii="Times New Roman" w:cs="Times New Roman" w:eastAsia="Times New Roman" w:hAnsi="Times New Roman"/>
          <w:color w:val="1F2937"/>
          <w:sz w:val="22"/>
          <w:szCs w:val="22"/>
        </w:rPr>
        <w:t xml:space="preserve">Le consentement éclairé implique trois conditions (approche éthique) :</w:t>
      </w:r>
    </w:p>
    <w:p>
      <w:pPr>
        <w:pStyle w:val="ListParagraph"/>
        <w:numPr>
          <w:ilvl w:val="0"/>
          <w:numId w:val="1"/>
        </w:numPr>
        <w:spacing w:after="80" w:before="40"/>
      </w:pPr>
      <w:r>
        <w:rPr>
          <w:rFonts w:ascii="Times New Roman" w:cs="Times New Roman" w:eastAsia="Times New Roman" w:hAnsi="Times New Roman"/>
          <w:b/>
          <w:bCs/>
          <w:color w:val="1F2937"/>
          <w:sz w:val="22"/>
          <w:szCs w:val="22"/>
        </w:rPr>
        <w:t xml:space="preserve">Information suffisante et compréhensible</w:t>
      </w:r>
      <w:r>
        <w:rPr>
          <w:rFonts w:ascii="Times New Roman" w:cs="Times New Roman" w:eastAsia="Times New Roman" w:hAnsi="Times New Roman"/>
          <w:color w:val="1F2937"/>
          <w:sz w:val="22"/>
          <w:szCs w:val="22"/>
        </w:rPr>
        <w:t xml:space="preserve"> : le patient doit pouvoir comprendre ce qu'on lui propose</w:t>
      </w:r>
    </w:p>
    <w:p>
      <w:pPr>
        <w:pStyle w:val="ListParagraph"/>
        <w:numPr>
          <w:ilvl w:val="0"/>
          <w:numId w:val="1"/>
        </w:numPr>
        <w:spacing w:after="80" w:before="40"/>
      </w:pPr>
      <w:r>
        <w:rPr>
          <w:rFonts w:ascii="Times New Roman" w:cs="Times New Roman" w:eastAsia="Times New Roman" w:hAnsi="Times New Roman"/>
          <w:b/>
          <w:bCs/>
          <w:color w:val="1F2937"/>
          <w:sz w:val="22"/>
          <w:szCs w:val="22"/>
        </w:rPr>
        <w:t xml:space="preserve">Capacité à comprendre et à décider</w:t>
      </w:r>
      <w:r>
        <w:rPr>
          <w:rFonts w:ascii="Times New Roman" w:cs="Times New Roman" w:eastAsia="Times New Roman" w:hAnsi="Times New Roman"/>
          <w:color w:val="1F2937"/>
          <w:sz w:val="22"/>
          <w:szCs w:val="22"/>
        </w:rPr>
        <w:t xml:space="preserve"> : la personne doit être en état d'exercer cette capacité au moment de la décision</w:t>
      </w:r>
    </w:p>
    <w:p>
      <w:pPr>
        <w:pStyle w:val="ListParagraph"/>
        <w:numPr>
          <w:ilvl w:val="0"/>
          <w:numId w:val="1"/>
        </w:numPr>
        <w:spacing w:after="80" w:before="40"/>
      </w:pPr>
      <w:r>
        <w:rPr>
          <w:rFonts w:ascii="Times New Roman" w:cs="Times New Roman" w:eastAsia="Times New Roman" w:hAnsi="Times New Roman"/>
          <w:b/>
          <w:bCs/>
          <w:color w:val="1F2937"/>
          <w:sz w:val="22"/>
          <w:szCs w:val="22"/>
        </w:rPr>
        <w:t xml:space="preserve">Absence de contrainte</w:t>
      </w:r>
      <w:r>
        <w:rPr>
          <w:rFonts w:ascii="Times New Roman" w:cs="Times New Roman" w:eastAsia="Times New Roman" w:hAnsi="Times New Roman"/>
          <w:color w:val="1F2937"/>
          <w:sz w:val="22"/>
          <w:szCs w:val="22"/>
        </w:rPr>
        <w:t xml:space="preserve"> : la décision doit être libre</w:t>
      </w:r>
    </w:p>
    <w:p>
      <w:pPr>
        <w:spacing w:after="60" w:before="80"/>
      </w:pPr>
    </w:p>
    <w:p>
      <w:pPr>
        <w:shd w:fill="F3F4F6" w:val="clear"/>
        <w:spacing w:after="100" w:before="80"/>
        <w:ind w:left="576" w:right="576"/>
      </w:pPr>
      <w:r>
        <w:rPr>
          <w:rFonts w:ascii="Times New Roman" w:cs="Times New Roman" w:eastAsia="Times New Roman" w:hAnsi="Times New Roman"/>
          <w:i/>
          <w:iCs/>
          <w:color w:val="1B3A6B"/>
          <w:sz w:val="22"/>
          <w:szCs w:val="22"/>
        </w:rPr>
        <w:t xml:space="preserve">Le Comité éthique de la Fédération Hospitalière de France considère le consentement comme « un acte de soin au même titre qu'un acte diagnostique ou thérapeutique ». Il doit être co-construit, adapté à la singularité du patient et ajusté dans sa temporalité. (Santé Mentale, 30 avril 2024, d'après l'avis du Comité éthique FHF)</w:t>
      </w:r>
    </w:p>
    <w:p>
      <w:pPr>
        <w:spacing w:after="100" w:before="60"/>
        <w:jc w:val="both"/>
      </w:pPr>
      <w:r>
        <w:rPr>
          <w:rFonts w:ascii="Times New Roman" w:cs="Times New Roman" w:eastAsia="Times New Roman" w:hAnsi="Times New Roman"/>
          <w:color w:val="1F2937"/>
          <w:sz w:val="22"/>
          <w:szCs w:val="22"/>
        </w:rPr>
        <w:t xml:space="preserve">Delphine Moreau (La Santé en action, n° 464, 2023, Santé Publique France) observe que la psychiatrie fait exception à ce principe général : des soins peuvent être imposés sous contrainte au patient au motif de son incapacité à consentir liée aux troubles psychiques. Depuis 2016, les différentes formes de contrainte intra-hospitalière (isolement, contention) font l'objet d'une vigilance renforcée — sans que cela suffise à lui seul à réduire significativement le recours à la contrainte, ni à assurer le respect des droits des personnes.</w:t>
      </w:r>
    </w:p>
    <w:p>
      <w:pPr>
        <w:spacing w:after="100" w:before="60"/>
        <w:jc w:val="both"/>
      </w:pPr>
      <w:r>
        <w:rPr>
          <w:rFonts w:ascii="Times New Roman" w:cs="Times New Roman" w:eastAsia="Times New Roman" w:hAnsi="Times New Roman"/>
          <w:color w:val="1F2937"/>
          <w:sz w:val="22"/>
          <w:szCs w:val="22"/>
        </w:rPr>
        <w:t xml:space="preserve">⚠️ Cadre déontologique de ce parcours : comprendre ces mécanismes vise à mieux observer, orienter et accompagner — en aucun cas à qualifier l'état mental d'une personne, acte réservé aux médecins psychiatres et aux psychologues cliniciens.</w:t>
      </w:r>
    </w:p>
    <w:p>
      <w:pPr>
        <w:pStyle w:val="Heading3"/>
        <w:spacing w:after="100" w:before="160"/>
      </w:pPr>
      <w:r>
        <w:rPr>
          <w:rFonts w:ascii="Times New Roman" w:cs="Times New Roman" w:eastAsia="Times New Roman" w:hAnsi="Times New Roman"/>
          <w:b/>
          <w:bCs/>
          <w:color w:val="1F2937"/>
          <w:sz w:val="26"/>
          <w:szCs w:val="26"/>
        </w:rPr>
        <w:t xml:space="preserve">2. Les soins sans consentement (SSC) : cadre légal français</w:t>
      </w:r>
    </w:p>
    <w:p>
      <w:pPr>
        <w:spacing w:after="100" w:before="60"/>
        <w:jc w:val="both"/>
      </w:pPr>
      <w:r>
        <w:rPr>
          <w:rFonts w:ascii="Times New Roman" w:cs="Times New Roman" w:eastAsia="Times New Roman" w:hAnsi="Times New Roman"/>
          <w:color w:val="1F2937"/>
          <w:sz w:val="22"/>
          <w:szCs w:val="22"/>
        </w:rPr>
        <w:t xml:space="preserve">La loi n° 2011-803 du 5 juillet 2011 relative aux droits et à la protection des personnes faisant l'objet de soins psychiatriques a structuré ce cadre. Elle distingue plusieurs modalités de soins sans consentement (SSC).</w:t>
      </w:r>
    </w:p>
    <w:p>
      <w:pPr>
        <w:spacing w:after="12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rPr>
          <w:tblHeader/>
        </w:trPr>
        <w:tc>
          <w:tcPr>
            <w:shd w:fill="1B3A6B" w:val="clear"/>
          </w:tcPr>
          <w:p>
            <w:pPr>
              <w:jc w:val="center"/>
            </w:pPr>
            <w:r>
              <w:rPr>
                <w:rFonts w:ascii="Times New Roman" w:cs="Times New Roman" w:eastAsia="Times New Roman" w:hAnsi="Times New Roman"/>
                <w:b/>
                <w:bCs/>
                <w:color w:val="FFFFFF"/>
                <w:sz w:val="20"/>
                <w:szCs w:val="20"/>
              </w:rPr>
              <w:t xml:space="preserve">Modalité (abréviation CSP)</w:t>
            </w:r>
          </w:p>
        </w:tc>
        <w:tc>
          <w:tcPr>
            <w:shd w:fill="1B3A6B" w:val="clear"/>
          </w:tcPr>
          <w:p>
            <w:pPr>
              <w:jc w:val="center"/>
            </w:pPr>
            <w:r>
              <w:rPr>
                <w:rFonts w:ascii="Times New Roman" w:cs="Times New Roman" w:eastAsia="Times New Roman" w:hAnsi="Times New Roman"/>
                <w:b/>
                <w:bCs/>
                <w:color w:val="FFFFFF"/>
                <w:sz w:val="20"/>
                <w:szCs w:val="20"/>
              </w:rPr>
              <w:t xml:space="preserve">Déclencheur</w:t>
            </w:r>
          </w:p>
        </w:tc>
        <w:tc>
          <w:tcPr>
            <w:shd w:fill="1B3A6B" w:val="clear"/>
          </w:tcPr>
          <w:p>
            <w:pPr>
              <w:jc w:val="center"/>
            </w:pPr>
            <w:r>
              <w:rPr>
                <w:rFonts w:ascii="Times New Roman" w:cs="Times New Roman" w:eastAsia="Times New Roman" w:hAnsi="Times New Roman"/>
                <w:b/>
                <w:bCs/>
                <w:color w:val="FFFFFF"/>
                <w:sz w:val="20"/>
                <w:szCs w:val="20"/>
              </w:rPr>
              <w:t xml:space="preserve">Décideur</w:t>
            </w:r>
          </w:p>
        </w:tc>
      </w:tr>
      <w:tr>
        <w:tc>
          <w:tcPr>
            <w:shd w:fill="EEF2F7" w:val="clear"/>
          </w:tcPr>
          <w:p>
            <w:r>
              <w:rPr>
                <w:rFonts w:ascii="Times New Roman" w:cs="Times New Roman" w:eastAsia="Times New Roman" w:hAnsi="Times New Roman"/>
                <w:color w:val="1F2937"/>
                <w:sz w:val="20"/>
                <w:szCs w:val="20"/>
              </w:rPr>
              <w:t xml:space="preserve">SPDT — Soins psychiatriques à la demande d'un tiers</w:t>
            </w:r>
          </w:p>
        </w:tc>
        <w:tc>
          <w:tcPr>
            <w:shd w:fill="EEF2F7" w:val="clear"/>
          </w:tcPr>
          <w:p>
            <w:r>
              <w:rPr>
                <w:rFonts w:ascii="Times New Roman" w:cs="Times New Roman" w:eastAsia="Times New Roman" w:hAnsi="Times New Roman"/>
                <w:color w:val="1F2937"/>
                <w:sz w:val="20"/>
                <w:szCs w:val="20"/>
              </w:rPr>
              <w:t xml:space="preserve">Demande d'un proche ou d'un tiers + certificats médicaux attestant des troubles</w:t>
            </w:r>
          </w:p>
        </w:tc>
        <w:tc>
          <w:tcPr>
            <w:shd w:fill="EEF2F7" w:val="clear"/>
          </w:tcPr>
          <w:p>
            <w:r>
              <w:rPr>
                <w:rFonts w:ascii="Times New Roman" w:cs="Times New Roman" w:eastAsia="Times New Roman" w:hAnsi="Times New Roman"/>
                <w:color w:val="1F2937"/>
                <w:sz w:val="20"/>
                <w:szCs w:val="20"/>
              </w:rPr>
              <w:t xml:space="preserve">Directeur de l'établissement de santé</w:t>
            </w:r>
          </w:p>
        </w:tc>
      </w:tr>
      <w:tr>
        <w:tc>
          <w:tcPr>
            <w:shd w:fill="FFFFFF" w:val="clear"/>
          </w:tcPr>
          <w:p>
            <w:r>
              <w:rPr>
                <w:rFonts w:ascii="Times New Roman" w:cs="Times New Roman" w:eastAsia="Times New Roman" w:hAnsi="Times New Roman"/>
                <w:color w:val="1F2937"/>
                <w:sz w:val="20"/>
                <w:szCs w:val="20"/>
              </w:rPr>
              <w:t xml:space="preserve">SPDRE — Soins psychiatriques sur décision du représentant de l'État</w:t>
            </w:r>
          </w:p>
        </w:tc>
        <w:tc>
          <w:tcPr>
            <w:shd w:fill="FFFFFF" w:val="clear"/>
          </w:tcPr>
          <w:p>
            <w:r>
              <w:rPr>
                <w:rFonts w:ascii="Times New Roman" w:cs="Times New Roman" w:eastAsia="Times New Roman" w:hAnsi="Times New Roman"/>
                <w:color w:val="1F2937"/>
                <w:sz w:val="20"/>
                <w:szCs w:val="20"/>
              </w:rPr>
              <w:t xml:space="preserve">Troubles à l'ordre public, ou danger grave pour la personne ou autrui</w:t>
            </w:r>
          </w:p>
        </w:tc>
        <w:tc>
          <w:tcPr>
            <w:shd w:fill="FFFFFF" w:val="clear"/>
          </w:tcPr>
          <w:p>
            <w:r>
              <w:rPr>
                <w:rFonts w:ascii="Times New Roman" w:cs="Times New Roman" w:eastAsia="Times New Roman" w:hAnsi="Times New Roman"/>
                <w:color w:val="1F2937"/>
                <w:sz w:val="20"/>
                <w:szCs w:val="20"/>
              </w:rPr>
              <w:t xml:space="preserve">Préfet (représentant de l'État)</w:t>
            </w:r>
          </w:p>
        </w:tc>
      </w:tr>
      <w:tr>
        <w:tc>
          <w:tcPr>
            <w:shd w:fill="EEF2F7" w:val="clear"/>
          </w:tcPr>
          <w:p>
            <w:r>
              <w:rPr>
                <w:rFonts w:ascii="Times New Roman" w:cs="Times New Roman" w:eastAsia="Times New Roman" w:hAnsi="Times New Roman"/>
                <w:color w:val="1F2937"/>
                <w:sz w:val="20"/>
                <w:szCs w:val="20"/>
              </w:rPr>
              <w:t xml:space="preserve">Formes d'urgence (SPDTU, SPI)*</w:t>
            </w:r>
          </w:p>
        </w:tc>
        <w:tc>
          <w:tcPr>
            <w:shd w:fill="EEF2F7" w:val="clear"/>
          </w:tcPr>
          <w:p>
            <w:r>
              <w:rPr>
                <w:rFonts w:ascii="Times New Roman" w:cs="Times New Roman" w:eastAsia="Times New Roman" w:hAnsi="Times New Roman"/>
                <w:color w:val="1F2937"/>
                <w:sz w:val="20"/>
                <w:szCs w:val="20"/>
              </w:rPr>
              <w:t xml:space="preserve">Péril imminent, avec ou sans tiers disponible</w:t>
            </w:r>
          </w:p>
        </w:tc>
        <w:tc>
          <w:tcPr>
            <w:shd w:fill="EEF2F7" w:val="clear"/>
          </w:tcPr>
          <w:p>
            <w:r>
              <w:rPr>
                <w:rFonts w:ascii="Times New Roman" w:cs="Times New Roman" w:eastAsia="Times New Roman" w:hAnsi="Times New Roman"/>
                <w:color w:val="1F2937"/>
                <w:sz w:val="20"/>
                <w:szCs w:val="20"/>
              </w:rPr>
              <w:t xml:space="preserve">Directeur de l'établissement</w:t>
            </w:r>
          </w:p>
        </w:tc>
      </w:tr>
    </w:tbl>
    <w:p>
      <w:pPr>
        <w:spacing w:after="100" w:before="60"/>
        <w:jc w:val="both"/>
      </w:pPr>
      <w:r>
        <w:rPr>
          <w:rFonts w:ascii="Times New Roman" w:cs="Times New Roman" w:eastAsia="Times New Roman" w:hAnsi="Times New Roman"/>
          <w:color w:val="1F2937"/>
          <w:sz w:val="22"/>
          <w:szCs w:val="22"/>
        </w:rPr>
        <w:t xml:space="preserve">* Les formes d'urgence (soins à la demande d'un tiers en urgence et soins en péril imminent) sont prévues par le CSP ; leurs conditions précises sont vérifiables sur Légifrance (lien dans les ressources, page retournant 403 anti-robot lors de cette exécution).</w:t>
      </w:r>
    </w:p>
    <w:p>
      <w:pPr>
        <w:spacing w:after="80"/>
      </w:pPr>
    </w:p>
    <w:p>
      <w:pPr>
        <w:spacing w:after="100" w:before="60"/>
        <w:jc w:val="both"/>
      </w:pPr>
      <w:r>
        <w:rPr>
          <w:rFonts w:ascii="Times New Roman" w:cs="Times New Roman" w:eastAsia="Times New Roman" w:hAnsi="Times New Roman"/>
          <w:color w:val="1F2937"/>
          <w:sz w:val="22"/>
          <w:szCs w:val="22"/>
        </w:rPr>
        <w:t xml:space="preserve">Garantie judiciaire : le contrôle du juge des libertés et de la détention (JLD) est obligatoire dans les délais fixés par la loi. C'est une garantie constitutionnelle liée à toute privation de liberté.</w:t>
      </w:r>
    </w:p>
    <w:p>
      <w:pPr>
        <w:spacing w:after="100" w:before="60"/>
        <w:jc w:val="both"/>
      </w:pPr>
      <w:r>
        <w:rPr>
          <w:rFonts w:ascii="Times New Roman" w:cs="Times New Roman" w:eastAsia="Times New Roman" w:hAnsi="Times New Roman"/>
          <w:color w:val="1F2937"/>
          <w:sz w:val="22"/>
          <w:szCs w:val="22"/>
        </w:rPr>
        <w:t xml:space="preserve">Droits maintenus en SSC (art. L3211-3 CSP, confirmé dans la RBP HAS « Isolement et contention », février 2017) : les restrictions à l'exercice des libertés individuelles doivent être</w:t>
      </w:r>
    </w:p>
    <w:p>
      <w:pPr>
        <w:shd w:fill="F3F4F6" w:val="clear"/>
        <w:spacing w:after="100" w:before="80"/>
        <w:ind w:left="576" w:right="576"/>
      </w:pPr>
      <w:r>
        <w:rPr>
          <w:rFonts w:ascii="Times New Roman" w:cs="Times New Roman" w:eastAsia="Times New Roman" w:hAnsi="Times New Roman"/>
          <w:i/>
          <w:iCs/>
          <w:color w:val="1B3A6B"/>
          <w:sz w:val="22"/>
          <w:szCs w:val="22"/>
        </w:rPr>
        <w:t xml:space="preserve">« adaptées, nécessaires et proportionnées » à l'état mental et à la mise en œuvre du traitement requis. « En toutes circonstances, la dignité de la personne doit être respectée et sa réinsertion recherchée. » (HAS, citant l'art. L3211-3 CSP)</w:t>
      </w:r>
    </w:p>
    <w:p>
      <w:pPr>
        <w:spacing w:after="100" w:before="60"/>
        <w:jc w:val="both"/>
      </w:pPr>
      <w:r>
        <w:rPr>
          <w:rFonts w:ascii="Times New Roman" w:cs="Times New Roman" w:eastAsia="Times New Roman" w:hAnsi="Times New Roman"/>
          <w:color w:val="1F2937"/>
          <w:sz w:val="22"/>
          <w:szCs w:val="22"/>
        </w:rPr>
        <w:t xml:space="preserve">Le patient en SSC conserve notamment : le droit de saisir la commission départementale des soins psychiatriques et les autorités judiciaires (tribunal, procureur), de prendre conseil auprès d'un avocat ou d'un médecin de son choix, d'émettre et recevoir des courriers, d'exercer son droit de vote et ses activités religieuses. (Art. L3211-3 CSP, mentionné dans la RBP HAS 2017, p. 8)</w:t>
      </w:r>
    </w:p>
    <w:p>
      <w:pPr>
        <w:pStyle w:val="Heading3"/>
        <w:spacing w:after="100" w:before="160"/>
      </w:pPr>
      <w:r>
        <w:rPr>
          <w:rFonts w:ascii="Times New Roman" w:cs="Times New Roman" w:eastAsia="Times New Roman" w:hAnsi="Times New Roman"/>
          <w:b/>
          <w:bCs/>
          <w:color w:val="1F2937"/>
          <w:sz w:val="26"/>
          <w:szCs w:val="26"/>
        </w:rPr>
        <w:t xml:space="preserve">3. Isolement et contention : pratiques de dernier recours</w:t>
      </w:r>
    </w:p>
    <w:p>
      <w:pPr>
        <w:spacing w:after="100" w:before="60"/>
        <w:jc w:val="both"/>
      </w:pPr>
      <w:r>
        <w:rPr>
          <w:rFonts w:ascii="Times New Roman" w:cs="Times New Roman" w:eastAsia="Times New Roman" w:hAnsi="Times New Roman"/>
          <w:color w:val="1F2937"/>
          <w:sz w:val="22"/>
          <w:szCs w:val="22"/>
        </w:rPr>
        <w:t xml:space="preserve">La recommandation de bonne pratique HAS « Isolement et contention en psychiatrie générale » (validée le 22 février 2017, mise en ligne le 20 mars 2017) encadre ces pratiques.</w:t>
      </w:r>
    </w:p>
    <w:p>
      <w:pPr>
        <w:spacing w:after="100" w:before="60"/>
        <w:jc w:val="both"/>
      </w:pPr>
      <w:r>
        <w:rPr>
          <w:rFonts w:ascii="Times New Roman" w:cs="Times New Roman" w:eastAsia="Times New Roman" w:hAnsi="Times New Roman"/>
          <w:color w:val="1F2937"/>
          <w:sz w:val="22"/>
          <w:szCs w:val="22"/>
        </w:rPr>
        <w:t xml:space="preserve">Définitions (HAS, 2017) :</w:t>
      </w:r>
    </w:p>
    <w:p>
      <w:pPr>
        <w:pStyle w:val="ListParagraph"/>
        <w:numPr>
          <w:ilvl w:val="0"/>
          <w:numId w:val="1"/>
        </w:numPr>
        <w:spacing w:after="80" w:before="40"/>
      </w:pPr>
      <w:r>
        <w:rPr>
          <w:rFonts w:ascii="Times New Roman" w:cs="Times New Roman" w:eastAsia="Times New Roman" w:hAnsi="Times New Roman"/>
          <w:b/>
          <w:bCs/>
          <w:color w:val="1F2937"/>
          <w:sz w:val="22"/>
          <w:szCs w:val="22"/>
        </w:rPr>
        <w:t xml:space="preserve">Isolement : </w:t>
      </w:r>
      <w:r>
        <w:rPr>
          <w:rFonts w:ascii="Times New Roman" w:cs="Times New Roman" w:eastAsia="Times New Roman" w:hAnsi="Times New Roman"/>
          <w:color w:val="1F2937"/>
          <w:sz w:val="22"/>
          <w:szCs w:val="22"/>
        </w:rPr>
        <w:t xml:space="preserve">placement du patient à visée de protection, lors d'une phase critique, dans un espace dont il ne peut sortir librement et qui est séparé des autres patients. Tout isolement ne peut se faire que dans un lieu dédié et adapté.</w:t>
      </w:r>
    </w:p>
    <w:p>
      <w:pPr>
        <w:pStyle w:val="ListParagraph"/>
        <w:numPr>
          <w:ilvl w:val="0"/>
          <w:numId w:val="1"/>
        </w:numPr>
        <w:spacing w:after="80" w:before="40"/>
      </w:pPr>
      <w:r>
        <w:rPr>
          <w:rFonts w:ascii="Times New Roman" w:cs="Times New Roman" w:eastAsia="Times New Roman" w:hAnsi="Times New Roman"/>
          <w:b/>
          <w:bCs/>
          <w:color w:val="1F2937"/>
          <w:sz w:val="22"/>
          <w:szCs w:val="22"/>
        </w:rPr>
        <w:t xml:space="preserve">Contention mécanique : </w:t>
      </w:r>
      <w:r>
        <w:rPr>
          <w:rFonts w:ascii="Times New Roman" w:cs="Times New Roman" w:eastAsia="Times New Roman" w:hAnsi="Times New Roman"/>
          <w:color w:val="1F2937"/>
          <w:sz w:val="22"/>
          <w:szCs w:val="22"/>
        </w:rPr>
        <w:t xml:space="preserve">utilisation de tous moyens, méthodes, matériels ou vêtements empêchant ou limitant les capacités de mobilisation volontaire de tout ou partie du corps dans un but de sécurité pour un patient dont le comportement présente un risque grave pour son intégrité ou celle d'autrui.</w:t>
      </w:r>
    </w:p>
    <w:p>
      <w:pPr>
        <w:spacing w:after="60"/>
      </w:pPr>
    </w:p>
    <w:p>
      <w:pPr>
        <w:spacing w:after="100" w:before="60"/>
        <w:jc w:val="both"/>
      </w:pPr>
      <w:r>
        <w:rPr>
          <w:rFonts w:ascii="Times New Roman" w:cs="Times New Roman" w:eastAsia="Times New Roman" w:hAnsi="Times New Roman"/>
          <w:color w:val="1F2937"/>
          <w:sz w:val="22"/>
          <w:szCs w:val="22"/>
        </w:rPr>
        <w:t xml:space="preserve">Conditions d'utilisation (recommandations HAS, 2017) :</w:t>
      </w:r>
    </w:p>
    <w:p>
      <w:pPr>
        <w:pStyle w:val="ListParagraph"/>
        <w:numPr>
          <w:ilvl w:val="0"/>
          <w:numId w:val="1"/>
        </w:numPr>
        <w:spacing w:after="80" w:before="40"/>
      </w:pPr>
      <w:r>
        <w:rPr>
          <w:rFonts w:ascii="Times New Roman" w:cs="Times New Roman" w:eastAsia="Times New Roman" w:hAnsi="Times New Roman"/>
          <w:b/>
          <w:bCs/>
          <w:color w:val="1F2937"/>
          <w:sz w:val="22"/>
          <w:szCs w:val="22"/>
        </w:rPr>
        <w:t xml:space="preserve">Seuls</w:t>
      </w:r>
      <w:r>
        <w:rPr>
          <w:rFonts w:ascii="Times New Roman" w:cs="Times New Roman" w:eastAsia="Times New Roman" w:hAnsi="Times New Roman"/>
          <w:color w:val="1F2937"/>
          <w:sz w:val="22"/>
          <w:szCs w:val="22"/>
        </w:rPr>
        <w:t xml:space="preserve"> les patients en SSC peuvent être isolés</w:t>
      </w:r>
    </w:p>
    <w:p>
      <w:pPr>
        <w:pStyle w:val="ListParagraph"/>
        <w:numPr>
          <w:ilvl w:val="0"/>
          <w:numId w:val="1"/>
        </w:numPr>
        <w:spacing w:after="80" w:before="40"/>
      </w:pPr>
      <w:r>
        <w:rPr>
          <w:rFonts w:ascii="Times New Roman" w:cs="Times New Roman" w:eastAsia="Times New Roman" w:hAnsi="Times New Roman"/>
          <w:color w:val="1F2937"/>
          <w:sz w:val="22"/>
          <w:szCs w:val="22"/>
        </w:rPr>
        <w:t xml:space="preserve">Uniquement en </w:t>
      </w:r>
      <w:r>
        <w:rPr>
          <w:rFonts w:ascii="Times New Roman" w:cs="Times New Roman" w:eastAsia="Times New Roman" w:hAnsi="Times New Roman"/>
          <w:b/>
          <w:bCs/>
          <w:color w:val="1F2937"/>
          <w:sz w:val="22"/>
          <w:szCs w:val="22"/>
        </w:rPr>
        <w:t xml:space="preserve">dernier recours</w:t>
      </w:r>
      <w:r>
        <w:rPr>
          <w:rFonts w:ascii="Times New Roman" w:cs="Times New Roman" w:eastAsia="Times New Roman" w:hAnsi="Times New Roman"/>
          <w:color w:val="1F2937"/>
          <w:sz w:val="22"/>
          <w:szCs w:val="22"/>
        </w:rPr>
        <w:t xml:space="preserve">, après échec des mesures alternatives moins restrictives</w:t>
      </w:r>
    </w:p>
    <w:p>
      <w:pPr>
        <w:pStyle w:val="ListParagraph"/>
        <w:numPr>
          <w:ilvl w:val="0"/>
          <w:numId w:val="1"/>
        </w:numPr>
        <w:spacing w:after="80" w:before="40"/>
      </w:pPr>
      <w:r>
        <w:rPr>
          <w:rFonts w:ascii="Times New Roman" w:cs="Times New Roman" w:eastAsia="Times New Roman" w:hAnsi="Times New Roman"/>
          <w:color w:val="1F2937"/>
          <w:sz w:val="22"/>
          <w:szCs w:val="22"/>
        </w:rPr>
        <w:t xml:space="preserve">Sur </w:t>
      </w:r>
      <w:r>
        <w:rPr>
          <w:rFonts w:ascii="Times New Roman" w:cs="Times New Roman" w:eastAsia="Times New Roman" w:hAnsi="Times New Roman"/>
          <w:b/>
          <w:bCs/>
          <w:color w:val="1F2937"/>
          <w:sz w:val="22"/>
          <w:szCs w:val="22"/>
        </w:rPr>
        <w:t xml:space="preserve">décision d'un psychiatre</w:t>
      </w:r>
      <w:r>
        <w:rPr>
          <w:rFonts w:ascii="Times New Roman" w:cs="Times New Roman" w:eastAsia="Times New Roman" w:hAnsi="Times New Roman"/>
          <w:color w:val="1F2937"/>
          <w:sz w:val="22"/>
          <w:szCs w:val="22"/>
        </w:rPr>
        <w:t xml:space="preserve"> (en cas de décision par un interne, confirmation obligatoire dans l'heure, y compris par téléphone)</w:t>
      </w:r>
    </w:p>
    <w:p>
      <w:pPr>
        <w:pStyle w:val="ListParagraph"/>
        <w:numPr>
          <w:ilvl w:val="0"/>
          <w:numId w:val="1"/>
        </w:numPr>
        <w:spacing w:after="80" w:before="40"/>
      </w:pPr>
      <w:r>
        <w:rPr>
          <w:rFonts w:ascii="Times New Roman" w:cs="Times New Roman" w:eastAsia="Times New Roman" w:hAnsi="Times New Roman"/>
          <w:color w:val="1F2937"/>
          <w:sz w:val="22"/>
          <w:szCs w:val="22"/>
        </w:rPr>
        <w:t xml:space="preserve">Durée initiale : isolement ≤ 12 h (renouvelable par tranches de 12 h, puis 24 h) ; contention mécanique ≤ 6 h (renouvelable par tranches de 6 h, puis 24 h)</w:t>
      </w:r>
    </w:p>
    <w:p>
      <w:pPr>
        <w:pStyle w:val="ListParagraph"/>
        <w:numPr>
          <w:ilvl w:val="0"/>
          <w:numId w:val="1"/>
        </w:numPr>
        <w:spacing w:after="80" w:before="40"/>
      </w:pPr>
      <w:r>
        <w:rPr>
          <w:rFonts w:ascii="Times New Roman" w:cs="Times New Roman" w:eastAsia="Times New Roman" w:hAnsi="Times New Roman"/>
          <w:color w:val="1F2937"/>
          <w:sz w:val="22"/>
          <w:szCs w:val="22"/>
        </w:rPr>
        <w:t xml:space="preserve">Isolements &gt; 48 h et contentions &gt; 24 h : exceptionnels seulement</w:t>
      </w:r>
    </w:p>
    <w:p>
      <w:pPr>
        <w:pStyle w:val="ListParagraph"/>
        <w:numPr>
          <w:ilvl w:val="0"/>
          <w:numId w:val="1"/>
        </w:numPr>
        <w:spacing w:after="80" w:before="40"/>
      </w:pPr>
      <w:r>
        <w:rPr>
          <w:rFonts w:ascii="Times New Roman" w:cs="Times New Roman" w:eastAsia="Times New Roman" w:hAnsi="Times New Roman"/>
          <w:color w:val="1F2937"/>
          <w:sz w:val="22"/>
          <w:szCs w:val="22"/>
        </w:rPr>
        <w:t xml:space="preserve">Au minimum </w:t>
      </w:r>
      <w:r>
        <w:rPr>
          <w:rFonts w:ascii="Times New Roman" w:cs="Times New Roman" w:eastAsia="Times New Roman" w:hAnsi="Times New Roman"/>
          <w:b/>
          <w:bCs/>
          <w:color w:val="1F2937"/>
          <w:sz w:val="22"/>
          <w:szCs w:val="22"/>
        </w:rPr>
        <w:t xml:space="preserve">2 visites médicales par 24 h</w:t>
      </w:r>
      <w:r>
        <w:rPr>
          <w:rFonts w:ascii="Times New Roman" w:cs="Times New Roman" w:eastAsia="Times New Roman" w:hAnsi="Times New Roman"/>
          <w:color w:val="1F2937"/>
          <w:sz w:val="22"/>
          <w:szCs w:val="22"/>
        </w:rPr>
        <w:t xml:space="preserve"> ; surveillance de l'état psychique par l'équipe soignante au moins toutes les heures</w:t>
      </w:r>
    </w:p>
    <w:p>
      <w:pPr>
        <w:pStyle w:val="ListParagraph"/>
        <w:numPr>
          <w:ilvl w:val="0"/>
          <w:numId w:val="1"/>
        </w:numPr>
        <w:spacing w:after="80" w:before="40"/>
      </w:pPr>
      <w:r>
        <w:rPr>
          <w:rFonts w:ascii="Times New Roman" w:cs="Times New Roman" w:eastAsia="Times New Roman" w:hAnsi="Times New Roman"/>
          <w:color w:val="1F2937"/>
          <w:sz w:val="22"/>
          <w:szCs w:val="22"/>
        </w:rPr>
        <w:t xml:space="preserve">Obligation d'information du patient : lui donner des explications claires sur les raisons de la mesure et les </w:t>
      </w:r>
      <w:r>
        <w:rPr>
          <w:rFonts w:ascii="Times New Roman" w:cs="Times New Roman" w:eastAsia="Times New Roman" w:hAnsi="Times New Roman"/>
          <w:b/>
          <w:bCs/>
          <w:color w:val="1F2937"/>
          <w:sz w:val="22"/>
          <w:szCs w:val="22"/>
        </w:rPr>
        <w:t xml:space="preserve">critères permettant sa levée</w:t>
      </w:r>
      <w:r>
        <w:rPr>
          <w:rFonts w:ascii="Times New Roman" w:cs="Times New Roman" w:eastAsia="Times New Roman" w:hAnsi="Times New Roman"/>
          <w:color w:val="1F2937"/>
          <w:sz w:val="22"/>
          <w:szCs w:val="22"/>
        </w:rPr>
        <w:t xml:space="preserve"> (HAS, 2017, section 8)</w:t>
      </w:r>
    </w:p>
    <w:p>
      <w:pPr>
        <w:spacing w:after="60"/>
      </w:pPr>
    </w:p>
    <w:p>
      <w:pPr>
        <w:spacing w:after="100" w:before="60"/>
        <w:jc w:val="both"/>
      </w:pPr>
      <w:r>
        <w:rPr>
          <w:rFonts w:ascii="Times New Roman" w:cs="Times New Roman" w:eastAsia="Times New Roman" w:hAnsi="Times New Roman"/>
          <w:color w:val="1F2937"/>
          <w:sz w:val="22"/>
          <w:szCs w:val="22"/>
        </w:rPr>
        <w:t xml:space="preserve">Contre-indications absolues (HAS, 2017) : jamais pour punir, infliger des souffrances ou de l'humiliation, exercer une domination — en aucun cas pour résoudre un problème administratif, institutionnel ou organisationnel, ni compenser la rareté du personnel.</w:t>
      </w:r>
    </w:p>
    <w:p>
      <w:pPr>
        <w:spacing w:after="100" w:before="60"/>
        <w:jc w:val="both"/>
      </w:pPr>
      <w:r>
        <w:rPr>
          <w:rFonts w:ascii="Times New Roman" w:cs="Times New Roman" w:eastAsia="Times New Roman" w:hAnsi="Times New Roman"/>
          <w:color w:val="1F2937"/>
          <w:sz w:val="22"/>
          <w:szCs w:val="22"/>
        </w:rPr>
        <w:t xml:space="preserve">Cadre légal renforcé : l'art. L3222-5-1 CSP (loi du 26 janvier 2016) oblige les établissements autorisés en psychiatrie à tenir un registre spécifique (nom du psychiatre, date/heure, durée, nom des professionnels) et à produire un rapport annuel sur ces pratiques, transmis à la commission des usagers.</w:t>
      </w:r>
    </w:p>
    <w:p>
      <w:pPr>
        <w:pStyle w:val="Heading3"/>
        <w:spacing w:after="100" w:before="160"/>
      </w:pPr>
      <w:r>
        <w:rPr>
          <w:rFonts w:ascii="Times New Roman" w:cs="Times New Roman" w:eastAsia="Times New Roman" w:hAnsi="Times New Roman"/>
          <w:b/>
          <w:bCs/>
          <w:color w:val="1F2937"/>
          <w:sz w:val="26"/>
          <w:szCs w:val="26"/>
        </w:rPr>
        <w:t xml:space="preserve">4. Les outils d'anticipation : réduire la contrainte</w:t>
      </w:r>
    </w:p>
    <w:p>
      <w:pPr>
        <w:spacing w:after="100" w:before="60"/>
        <w:jc w:val="both"/>
      </w:pPr>
      <w:r>
        <w:rPr>
          <w:rFonts w:ascii="Times New Roman" w:cs="Times New Roman" w:eastAsia="Times New Roman" w:hAnsi="Times New Roman"/>
          <w:color w:val="1F2937"/>
          <w:sz w:val="22"/>
          <w:szCs w:val="22"/>
        </w:rPr>
        <w:t xml:space="preserve">Les directives anticipées en psychiatrie (DAP) — aussi appelées plan de crise conjoint, mesures d'anticipation en psychiatrie, ou plan de prévention partagé — permettent à une personne vivant avec un trouble psychique d'exprimer par avance ses préférences pour le cas où une crise l'empêcherait de les formuler.</w:t>
      </w:r>
    </w:p>
    <w:p>
      <w:pPr>
        <w:spacing w:after="100" w:before="60"/>
        <w:jc w:val="both"/>
      </w:pPr>
      <w:r>
        <w:rPr>
          <w:rFonts w:ascii="Times New Roman" w:cs="Times New Roman" w:eastAsia="Times New Roman" w:hAnsi="Times New Roman"/>
          <w:color w:val="1F2937"/>
          <w:sz w:val="22"/>
          <w:szCs w:val="22"/>
        </w:rPr>
        <w:t xml:space="preserve">Ces démarches sont soutenues par plusieurs organismes internationaux et nationaux (dont l'OMS et la HAS qui recommandait depuis 2016 le terme « plan de prévention partagé »).</w:t>
      </w:r>
    </w:p>
    <w:p>
      <w:pPr>
        <w:spacing w:after="100" w:before="60"/>
        <w:jc w:val="both"/>
      </w:pPr>
      <w:r>
        <w:rPr>
          <w:rFonts w:ascii="Times New Roman" w:cs="Times New Roman" w:eastAsia="Times New Roman" w:hAnsi="Times New Roman"/>
          <w:color w:val="1F2937"/>
          <w:sz w:val="22"/>
          <w:szCs w:val="22"/>
        </w:rPr>
        <w:t xml:space="preserve">Données (selon Psycom, novembre 2022, citant une étude randomisée contrôlée publiée dans JAMA par Tinland A. et al., conduite en France auprès de 394 personnes, sur 1 an de suivi) : le fait d'avoir rempli des directives anticipées en présence de médiateurs de santé pair était associé à une réduction de plus de 30 % des hospitalisations sans consentement dans ce groupe.</w:t>
      </w:r>
    </w:p>
    <w:p>
      <w:pPr>
        <w:spacing w:after="100" w:before="60"/>
        <w:jc w:val="both"/>
      </w:pPr>
      <w:r>
        <w:rPr>
          <w:rFonts w:ascii="Times New Roman" w:cs="Times New Roman" w:eastAsia="Times New Roman" w:hAnsi="Times New Roman"/>
          <w:color w:val="1F2937"/>
          <w:sz w:val="22"/>
          <w:szCs w:val="22"/>
        </w:rPr>
        <w:t xml:space="preserve">Les DAP peuvent indiquer : les mesures souhaitées ou refusées en cas de crise, les médicaments préférés, la personne de confiance à prévenir, les modalités de contact avec les proches.</w:t>
      </w:r>
    </w:p>
    <w:p>
      <w:pPr>
        <w:pBdr>
          <w:bottom w:val="single" w:color="1B3A6B" w:sz="6"/>
        </w:pBdr>
        <w:spacing w:after="160" w:before="160"/>
      </w:pPr>
      <w:r>
        <w:t xml:space="preserve"/>
      </w:r>
    </w:p>
    <w:p>
      <w:pPr>
        <w:pStyle w:val="Heading2"/>
        <w:spacing w:after="120" w:before="240"/>
      </w:pPr>
      <w:r>
        <w:rPr>
          <w:rFonts w:ascii="Times New Roman" w:cs="Times New Roman" w:eastAsia="Times New Roman" w:hAnsi="Times New Roman"/>
          <w:b/>
          <w:bCs/>
          <w:color w:val="1B3A6B"/>
          <w:sz w:val="30"/>
          <w:szCs w:val="30"/>
        </w:rPr>
        <w:t xml:space="preserve">🛠️ Pratique (80 %) — Exercices d'apprentissage actif</w:t>
      </w:r>
    </w:p>
    <w:p>
      <w:pPr>
        <w:pStyle w:val="Heading3"/>
        <w:spacing w:after="100" w:before="160"/>
      </w:pPr>
      <w:r>
        <w:rPr>
          <w:rFonts w:ascii="Times New Roman" w:cs="Times New Roman" w:eastAsia="Times New Roman" w:hAnsi="Times New Roman"/>
          <w:b/>
          <w:bCs/>
          <w:color w:val="1F2937"/>
          <w:sz w:val="26"/>
          <w:szCs w:val="26"/>
        </w:rPr>
        <w:t xml:space="preserve">Exercice 1 : Identifier la modalité applicable</w:t>
      </w:r>
    </w:p>
    <w:p>
      <w:pPr>
        <w:spacing w:after="100" w:before="60"/>
        <w:jc w:val="both"/>
      </w:pPr>
      <w:r>
        <w:rPr>
          <w:rFonts w:ascii="Times New Roman" w:cs="Times New Roman" w:eastAsia="Times New Roman" w:hAnsi="Times New Roman"/>
          <w:color w:val="1F2937"/>
          <w:sz w:val="22"/>
          <w:szCs w:val="22"/>
        </w:rPr>
        <w:t xml:space="preserve">Pour chacune des quatre situations suivantes, identifie la modalité de soins sans consentement la plus appropriée selon le cadre légal français. Justifie ta réponse en une phrase.</w:t>
      </w:r>
    </w:p>
    <w:p>
      <w:pPr>
        <w:spacing w:after="60"/>
      </w:pPr>
    </w:p>
    <w:p>
      <w:pPr>
        <w:spacing w:after="60"/>
      </w:pPr>
      <w:r>
        <w:rPr>
          <w:rFonts w:ascii="Times New Roman" w:cs="Times New Roman" w:eastAsia="Times New Roman" w:hAnsi="Times New Roman"/>
          <w:b/>
          <w:bCs/>
          <w:color w:val="1F2937"/>
          <w:sz w:val="22"/>
          <w:szCs w:val="22"/>
        </w:rPr>
        <w:t xml:space="preserve">Situation A :</w:t>
      </w:r>
      <w:r>
        <w:rPr>
          <w:rFonts w:ascii="Times New Roman" w:cs="Times New Roman" w:eastAsia="Times New Roman" w:hAnsi="Times New Roman"/>
          <w:color w:val="1F2937"/>
          <w:sz w:val="22"/>
          <w:szCs w:val="22"/>
        </w:rPr>
        <w:t xml:space="preserve"> M. T., 42 ans, présente une décompensation maniaque sévère. Il refuse toute hospitalisation. Sa sœur souhaite une hospitalisation. Il n'y a pas de trouble à l'ordre public, mais son état fait craindre un danger pour lui-même. Les documents médicaux sont disponibles.</w:t>
      </w:r>
    </w:p>
    <w:p>
      <w:pPr>
        <w:spacing w:after="60"/>
      </w:pPr>
      <w:r>
        <w:rPr>
          <w:rFonts w:ascii="Times New Roman" w:cs="Times New Roman" w:eastAsia="Times New Roman" w:hAnsi="Times New Roman"/>
          <w:b/>
          <w:bCs/>
          <w:color w:val="1F2937"/>
          <w:sz w:val="22"/>
          <w:szCs w:val="22"/>
        </w:rPr>
        <w:t xml:space="preserve">Situation B :</w:t>
      </w:r>
      <w:r>
        <w:rPr>
          <w:rFonts w:ascii="Times New Roman" w:cs="Times New Roman" w:eastAsia="Times New Roman" w:hAnsi="Times New Roman"/>
          <w:color w:val="1F2937"/>
          <w:sz w:val="22"/>
          <w:szCs w:val="22"/>
        </w:rPr>
        <w:t xml:space="preserve"> Mme K., 35 ans, est découverte errant dans la rue, très désorganisée, sans papiers. Elle est inconnue des services et ne peut s'exprimer. Aucun proche n'est joignable.</w:t>
      </w:r>
    </w:p>
    <w:p>
      <w:pPr>
        <w:spacing w:after="60"/>
      </w:pPr>
      <w:r>
        <w:rPr>
          <w:rFonts w:ascii="Times New Roman" w:cs="Times New Roman" w:eastAsia="Times New Roman" w:hAnsi="Times New Roman"/>
          <w:b/>
          <w:bCs/>
          <w:color w:val="1F2937"/>
          <w:sz w:val="22"/>
          <w:szCs w:val="22"/>
        </w:rPr>
        <w:t xml:space="preserve">Situation C :</w:t>
      </w:r>
      <w:r>
        <w:rPr>
          <w:rFonts w:ascii="Times New Roman" w:cs="Times New Roman" w:eastAsia="Times New Roman" w:hAnsi="Times New Roman"/>
          <w:color w:val="1F2937"/>
          <w:sz w:val="22"/>
          <w:szCs w:val="22"/>
        </w:rPr>
        <w:t xml:space="preserve"> M. B., 28 ans, a proféré des menaces graves dans l'espace public et tenu des propos inquiétants pour la sécurité d'autrui. Le maire saisit le préfet.</w:t>
      </w:r>
    </w:p>
    <w:p>
      <w:pPr>
        <w:spacing w:after="60"/>
      </w:pPr>
      <w:r>
        <w:rPr>
          <w:rFonts w:ascii="Times New Roman" w:cs="Times New Roman" w:eastAsia="Times New Roman" w:hAnsi="Times New Roman"/>
          <w:b/>
          <w:bCs/>
          <w:color w:val="1F2937"/>
          <w:sz w:val="22"/>
          <w:szCs w:val="22"/>
        </w:rPr>
        <w:t xml:space="preserve">Situation D :</w:t>
      </w:r>
      <w:r>
        <w:rPr>
          <w:rFonts w:ascii="Times New Roman" w:cs="Times New Roman" w:eastAsia="Times New Roman" w:hAnsi="Times New Roman"/>
          <w:color w:val="1F2937"/>
          <w:sz w:val="22"/>
          <w:szCs w:val="22"/>
        </w:rPr>
        <w:t xml:space="preserve"> Mme F., hospitalisée en SPDT depuis 48 h, a un épisode de violence intense dans l'unité. Les équipes ont tenté de la désamorcer, en vain. Un interne prend la décision d'isolement à 23 h. Il n'y a pas de psychiatre présent dans l'unité.</w:t>
      </w:r>
    </w:p>
    <w:p>
      <w:pPr>
        <w:pStyle w:val="Heading3"/>
        <w:spacing w:after="100" w:before="160"/>
      </w:pPr>
      <w:r>
        <w:rPr>
          <w:rFonts w:ascii="Times New Roman" w:cs="Times New Roman" w:eastAsia="Times New Roman" w:hAnsi="Times New Roman"/>
          <w:b/>
          <w:bCs/>
          <w:color w:val="1F2937"/>
          <w:sz w:val="26"/>
          <w:szCs w:val="26"/>
        </w:rPr>
        <w:t xml:space="preserve">Corrigé — Exercice 1</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rPr>
          <w:tblHeader/>
        </w:trPr>
        <w:tc>
          <w:tcPr>
            <w:shd w:fill="1B3A6B" w:val="clear"/>
          </w:tcPr>
          <w:p>
            <w:pPr>
              <w:jc w:val="center"/>
            </w:pPr>
            <w:r>
              <w:rPr>
                <w:rFonts w:ascii="Times New Roman" w:cs="Times New Roman" w:eastAsia="Times New Roman" w:hAnsi="Times New Roman"/>
                <w:b/>
                <w:bCs/>
                <w:color w:val="FFFFFF"/>
                <w:sz w:val="20"/>
                <w:szCs w:val="20"/>
              </w:rPr>
              <w:t xml:space="preserve">Situation</w:t>
            </w:r>
          </w:p>
        </w:tc>
        <w:tc>
          <w:tcPr>
            <w:shd w:fill="1B3A6B" w:val="clear"/>
          </w:tcPr>
          <w:p>
            <w:pPr>
              <w:jc w:val="center"/>
            </w:pPr>
            <w:r>
              <w:rPr>
                <w:rFonts w:ascii="Times New Roman" w:cs="Times New Roman" w:eastAsia="Times New Roman" w:hAnsi="Times New Roman"/>
                <w:b/>
                <w:bCs/>
                <w:color w:val="FFFFFF"/>
                <w:sz w:val="20"/>
                <w:szCs w:val="20"/>
              </w:rPr>
              <w:t xml:space="preserve">Modalité</w:t>
            </w:r>
          </w:p>
        </w:tc>
        <w:tc>
          <w:tcPr>
            <w:shd w:fill="1B3A6B" w:val="clear"/>
          </w:tcPr>
          <w:p>
            <w:pPr>
              <w:jc w:val="center"/>
            </w:pPr>
            <w:r>
              <w:rPr>
                <w:rFonts w:ascii="Times New Roman" w:cs="Times New Roman" w:eastAsia="Times New Roman" w:hAnsi="Times New Roman"/>
                <w:b/>
                <w:bCs/>
                <w:color w:val="FFFFFF"/>
                <w:sz w:val="20"/>
                <w:szCs w:val="20"/>
              </w:rPr>
              <w:t xml:space="preserve">Justification</w:t>
            </w:r>
          </w:p>
        </w:tc>
      </w:tr>
      <w:tr>
        <w:tc>
          <w:tcPr>
            <w:shd w:fill="EEF2F7" w:val="clear"/>
          </w:tcPr>
          <w:p>
            <w:r>
              <w:rPr>
                <w:rFonts w:ascii="Times New Roman" w:cs="Times New Roman" w:eastAsia="Times New Roman" w:hAnsi="Times New Roman"/>
                <w:color w:val="1F2937"/>
                <w:sz w:val="20"/>
                <w:szCs w:val="20"/>
              </w:rPr>
              <w:t xml:space="preserve">A</w:t>
            </w:r>
          </w:p>
        </w:tc>
        <w:tc>
          <w:tcPr>
            <w:shd w:fill="EEF2F7" w:val="clear"/>
          </w:tcPr>
          <w:p>
            <w:r>
              <w:rPr>
                <w:rFonts w:ascii="Times New Roman" w:cs="Times New Roman" w:eastAsia="Times New Roman" w:hAnsi="Times New Roman"/>
                <w:color w:val="1F2937"/>
                <w:sz w:val="20"/>
                <w:szCs w:val="20"/>
              </w:rPr>
              <w:t xml:space="preserve">SPDT (Soins à la demande d'un tiers)</w:t>
            </w:r>
          </w:p>
        </w:tc>
        <w:tc>
          <w:tcPr>
            <w:shd w:fill="EEF2F7" w:val="clear"/>
          </w:tcPr>
          <w:p>
            <w:r>
              <w:rPr>
                <w:rFonts w:ascii="Times New Roman" w:cs="Times New Roman" w:eastAsia="Times New Roman" w:hAnsi="Times New Roman"/>
                <w:color w:val="1F2937"/>
                <w:sz w:val="20"/>
                <w:szCs w:val="20"/>
              </w:rPr>
              <w:t xml:space="preserve">Tiers disponible (la sœur), documents médicaux disponibles, pas de trouble à l'ordre public.</w:t>
            </w:r>
          </w:p>
        </w:tc>
      </w:tr>
      <w:tr>
        <w:tc>
          <w:tcPr>
            <w:shd w:fill="FFFFFF" w:val="clear"/>
          </w:tcPr>
          <w:p>
            <w:r>
              <w:rPr>
                <w:rFonts w:ascii="Times New Roman" w:cs="Times New Roman" w:eastAsia="Times New Roman" w:hAnsi="Times New Roman"/>
                <w:color w:val="1F2937"/>
                <w:sz w:val="20"/>
                <w:szCs w:val="20"/>
              </w:rPr>
              <w:t xml:space="preserve">B</w:t>
            </w:r>
          </w:p>
        </w:tc>
        <w:tc>
          <w:tcPr>
            <w:shd w:fill="FFFFFF" w:val="clear"/>
          </w:tcPr>
          <w:p>
            <w:r>
              <w:rPr>
                <w:rFonts w:ascii="Times New Roman" w:cs="Times New Roman" w:eastAsia="Times New Roman" w:hAnsi="Times New Roman"/>
                <w:color w:val="1F2937"/>
                <w:sz w:val="20"/>
                <w:szCs w:val="20"/>
              </w:rPr>
              <w:t xml:space="preserve">SPI ou forme d'urgence sans tiers</w:t>
            </w:r>
          </w:p>
        </w:tc>
        <w:tc>
          <w:tcPr>
            <w:shd w:fill="FFFFFF" w:val="clear"/>
          </w:tcPr>
          <w:p>
            <w:r>
              <w:rPr>
                <w:rFonts w:ascii="Times New Roman" w:cs="Times New Roman" w:eastAsia="Times New Roman" w:hAnsi="Times New Roman"/>
                <w:color w:val="1F2937"/>
                <w:sz w:val="20"/>
                <w:szCs w:val="20"/>
              </w:rPr>
              <w:t xml:space="preserve">Péril imminent, aucun tiers disponible. Le directeur de l'établissement décide sur la base de certificats médicaux.</w:t>
            </w:r>
          </w:p>
        </w:tc>
      </w:tr>
      <w:tr>
        <w:tc>
          <w:tcPr>
            <w:shd w:fill="EEF2F7" w:val="clear"/>
          </w:tcPr>
          <w:p>
            <w:r>
              <w:rPr>
                <w:rFonts w:ascii="Times New Roman" w:cs="Times New Roman" w:eastAsia="Times New Roman" w:hAnsi="Times New Roman"/>
                <w:color w:val="1F2937"/>
                <w:sz w:val="20"/>
                <w:szCs w:val="20"/>
              </w:rPr>
              <w:t xml:space="preserve">C</w:t>
            </w:r>
          </w:p>
        </w:tc>
        <w:tc>
          <w:tcPr>
            <w:shd w:fill="EEF2F7" w:val="clear"/>
          </w:tcPr>
          <w:p>
            <w:r>
              <w:rPr>
                <w:rFonts w:ascii="Times New Roman" w:cs="Times New Roman" w:eastAsia="Times New Roman" w:hAnsi="Times New Roman"/>
                <w:color w:val="1F2937"/>
                <w:sz w:val="20"/>
                <w:szCs w:val="20"/>
              </w:rPr>
              <w:t xml:space="preserve">SPDRE (Décision du représentant de l'État)</w:t>
            </w:r>
          </w:p>
        </w:tc>
        <w:tc>
          <w:tcPr>
            <w:shd w:fill="EEF2F7" w:val="clear"/>
          </w:tcPr>
          <w:p>
            <w:r>
              <w:rPr>
                <w:rFonts w:ascii="Times New Roman" w:cs="Times New Roman" w:eastAsia="Times New Roman" w:hAnsi="Times New Roman"/>
                <w:color w:val="1F2937"/>
                <w:sz w:val="20"/>
                <w:szCs w:val="20"/>
              </w:rPr>
              <w:t xml:space="preserve">Troubles à l'ordre public + danger grave pour autrui → décision du préfet.</w:t>
            </w:r>
          </w:p>
        </w:tc>
      </w:tr>
      <w:tr>
        <w:tc>
          <w:tcPr>
            <w:shd w:fill="FFFFFF" w:val="clear"/>
          </w:tcPr>
          <w:p>
            <w:r>
              <w:rPr>
                <w:rFonts w:ascii="Times New Roman" w:cs="Times New Roman" w:eastAsia="Times New Roman" w:hAnsi="Times New Roman"/>
                <w:color w:val="1F2937"/>
                <w:sz w:val="20"/>
                <w:szCs w:val="20"/>
              </w:rPr>
              <w:t xml:space="preserve">D</w:t>
            </w:r>
          </w:p>
        </w:tc>
        <w:tc>
          <w:tcPr>
            <w:shd w:fill="FFFFFF" w:val="clear"/>
          </w:tcPr>
          <w:p>
            <w:r>
              <w:rPr>
                <w:rFonts w:ascii="Times New Roman" w:cs="Times New Roman" w:eastAsia="Times New Roman" w:hAnsi="Times New Roman"/>
                <w:color w:val="1F2937"/>
                <w:sz w:val="20"/>
                <w:szCs w:val="20"/>
              </w:rPr>
              <w:t xml:space="preserve">Isolement possible, mais confirmation psychiatre obligatoire dans l'heure</w:t>
            </w:r>
          </w:p>
        </w:tc>
        <w:tc>
          <w:tcPr>
            <w:shd w:fill="FFFFFF" w:val="clear"/>
          </w:tcPr>
          <w:p>
            <w:r>
              <w:rPr>
                <w:rFonts w:ascii="Times New Roman" w:cs="Times New Roman" w:eastAsia="Times New Roman" w:hAnsi="Times New Roman"/>
                <w:color w:val="1F2937"/>
                <w:sz w:val="20"/>
                <w:szCs w:val="20"/>
              </w:rPr>
              <w:t xml:space="preserve">La décision par un interne doit être confirmée par un psychiatre dans l'heure (HAS, 2017), y compris par téléphone. Sans cette confirmation, la mesure n'est pas conforme.</w:t>
            </w:r>
          </w:p>
        </w:tc>
      </w:tr>
    </w:tbl>
    <w:p>
      <w:pPr>
        <w:spacing w:after="160"/>
      </w:pPr>
    </w:p>
    <w:p>
      <w:pPr>
        <w:pStyle w:val="Heading3"/>
        <w:spacing w:after="100" w:before="160"/>
      </w:pPr>
      <w:r>
        <w:rPr>
          <w:rFonts w:ascii="Times New Roman" w:cs="Times New Roman" w:eastAsia="Times New Roman" w:hAnsi="Times New Roman"/>
          <w:b/>
          <w:bCs/>
          <w:color w:val="1F2937"/>
          <w:sz w:val="26"/>
          <w:szCs w:val="26"/>
        </w:rPr>
        <w:t xml:space="preserve">Exercice 2 : Analyse éthique d'une situation</w:t>
      </w:r>
    </w:p>
    <w:p>
      <w:pPr>
        <w:spacing w:after="100" w:before="60"/>
        <w:jc w:val="both"/>
      </w:pPr>
      <w:r>
        <w:rPr>
          <w:rFonts w:ascii="Times New Roman" w:cs="Times New Roman" w:eastAsia="Times New Roman" w:hAnsi="Times New Roman"/>
          <w:color w:val="1F2937"/>
          <w:sz w:val="22"/>
          <w:szCs w:val="22"/>
        </w:rPr>
        <w:t xml:space="preserve">Mme A., 60 ans, est résidente d'un foyer d'hébergement. Elle est hospitalisée en SPDT depuis 3 jours à la suite d'une décompensation. L'équipe hospitalière envisage une mesure d'isolement. Tu es contacté·e en tant que chef de service.</w:t>
      </w:r>
    </w:p>
    <w:p>
      <w:pPr>
        <w:spacing w:after="100" w:before="60"/>
        <w:jc w:val="both"/>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80" w:before="40"/>
      </w:pPr>
      <w:r>
        <w:rPr>
          <w:rFonts w:ascii="Times New Roman" w:cs="Times New Roman" w:eastAsia="Times New Roman" w:hAnsi="Times New Roman"/>
          <w:color w:val="1F2937"/>
          <w:sz w:val="22"/>
          <w:szCs w:val="22"/>
        </w:rPr>
        <w:t xml:space="preserve">Quels droits Mme A. conserve-t-elle pendant son hospitalisation en SSC ?</w:t>
      </w:r>
    </w:p>
    <w:p>
      <w:pPr>
        <w:pStyle w:val="ListParagraph"/>
        <w:numPr>
          <w:ilvl w:val="0"/>
          <w:numId w:val="1"/>
        </w:numPr>
        <w:spacing w:after="80" w:before="40"/>
      </w:pPr>
      <w:r>
        <w:rPr>
          <w:rFonts w:ascii="Times New Roman" w:cs="Times New Roman" w:eastAsia="Times New Roman" w:hAnsi="Times New Roman"/>
          <w:color w:val="1F2937"/>
          <w:sz w:val="22"/>
          <w:szCs w:val="22"/>
        </w:rPr>
        <w:t xml:space="preserve">Quelles conditions la HAS exige-t-elle pour qu'une mesure d'isolement soit licite ?</w:t>
      </w:r>
    </w:p>
    <w:p>
      <w:pPr>
        <w:pStyle w:val="ListParagraph"/>
        <w:numPr>
          <w:ilvl w:val="0"/>
          <w:numId w:val="1"/>
        </w:numPr>
        <w:spacing w:after="80" w:before="40"/>
      </w:pPr>
      <w:r>
        <w:rPr>
          <w:rFonts w:ascii="Times New Roman" w:cs="Times New Roman" w:eastAsia="Times New Roman" w:hAnsi="Times New Roman"/>
          <w:color w:val="1F2937"/>
          <w:sz w:val="22"/>
          <w:szCs w:val="22"/>
        </w:rPr>
        <w:t xml:space="preserve">En quoi la connaissance de son parcours antérieur et d'une éventuelle DAP pourrait-elle changer la situation ?</w:t>
      </w:r>
    </w:p>
    <w:p>
      <w:pPr>
        <w:pStyle w:val="Heading3"/>
        <w:spacing w:after="100" w:before="160"/>
      </w:pPr>
      <w:r>
        <w:rPr>
          <w:rFonts w:ascii="Times New Roman" w:cs="Times New Roman" w:eastAsia="Times New Roman" w:hAnsi="Times New Roman"/>
          <w:b/>
          <w:bCs/>
          <w:color w:val="1F2937"/>
          <w:sz w:val="26"/>
          <w:szCs w:val="26"/>
        </w:rPr>
        <w:t xml:space="preserve">Corrigé — Exercice 2</w:t>
      </w:r>
    </w:p>
    <w:p>
      <w:pPr>
        <w:spacing w:after="80" w:before="80"/>
      </w:pPr>
      <w:r>
        <w:rPr>
          <w:rFonts w:ascii="Times New Roman" w:cs="Times New Roman" w:eastAsia="Times New Roman" w:hAnsi="Times New Roman"/>
          <w:b/>
          <w:bCs/>
          <w:color w:val="1F2937"/>
          <w:sz w:val="22"/>
          <w:szCs w:val="22"/>
        </w:rPr>
        <w:t xml:space="preserve">1. Droits maintenus (art. L3211-3 CSP, RBP HAS 2017) :</w:t>
      </w:r>
    </w:p>
    <w:p>
      <w:pPr>
        <w:pStyle w:val="ListParagraph"/>
        <w:numPr>
          <w:ilvl w:val="0"/>
          <w:numId w:val="1"/>
        </w:numPr>
        <w:spacing w:after="80" w:before="40"/>
      </w:pPr>
      <w:r>
        <w:rPr>
          <w:rFonts w:ascii="Times New Roman" w:cs="Times New Roman" w:eastAsia="Times New Roman" w:hAnsi="Times New Roman"/>
          <w:color w:val="1F2937"/>
          <w:sz w:val="22"/>
          <w:szCs w:val="22"/>
        </w:rPr>
        <w:t xml:space="preserve">Saisir la commission départementale des soins psychiatriques et les autorités judiciaires</w:t>
      </w:r>
    </w:p>
    <w:p>
      <w:pPr>
        <w:pStyle w:val="ListParagraph"/>
        <w:numPr>
          <w:ilvl w:val="0"/>
          <w:numId w:val="1"/>
        </w:numPr>
        <w:spacing w:after="80" w:before="40"/>
      </w:pPr>
      <w:r>
        <w:rPr>
          <w:rFonts w:ascii="Times New Roman" w:cs="Times New Roman" w:eastAsia="Times New Roman" w:hAnsi="Times New Roman"/>
          <w:color w:val="1F2937"/>
          <w:sz w:val="22"/>
          <w:szCs w:val="22"/>
        </w:rPr>
        <w:t xml:space="preserve">Prendre conseil auprès d'un médecin ou d'un avocat de son choix</w:t>
      </w:r>
    </w:p>
    <w:p>
      <w:pPr>
        <w:pStyle w:val="ListParagraph"/>
        <w:numPr>
          <w:ilvl w:val="0"/>
          <w:numId w:val="1"/>
        </w:numPr>
        <w:spacing w:after="80" w:before="40"/>
      </w:pPr>
      <w:r>
        <w:rPr>
          <w:rFonts w:ascii="Times New Roman" w:cs="Times New Roman" w:eastAsia="Times New Roman" w:hAnsi="Times New Roman"/>
          <w:color w:val="1F2937"/>
          <w:sz w:val="22"/>
          <w:szCs w:val="22"/>
        </w:rPr>
        <w:t xml:space="preserve">Émettre et recevoir des courriers, exercer son droit de vote, pratiquer ses activités religieuses</w:t>
      </w:r>
    </w:p>
    <w:p>
      <w:pPr>
        <w:pStyle w:val="ListParagraph"/>
        <w:numPr>
          <w:ilvl w:val="0"/>
          <w:numId w:val="1"/>
        </w:numPr>
        <w:spacing w:after="80" w:before="40"/>
      </w:pPr>
      <w:r>
        <w:rPr>
          <w:rFonts w:ascii="Times New Roman" w:cs="Times New Roman" w:eastAsia="Times New Roman" w:hAnsi="Times New Roman"/>
          <w:color w:val="1F2937"/>
          <w:sz w:val="22"/>
          <w:szCs w:val="22"/>
        </w:rPr>
        <w:t xml:space="preserve">Se voir respecter en toutes circonstances sa dignité</w:t>
      </w:r>
    </w:p>
    <w:p>
      <w:pPr>
        <w:spacing w:after="80" w:before="80"/>
      </w:pPr>
      <w:r>
        <w:rPr>
          <w:rFonts w:ascii="Times New Roman" w:cs="Times New Roman" w:eastAsia="Times New Roman" w:hAnsi="Times New Roman"/>
          <w:b/>
          <w:bCs/>
          <w:color w:val="1F2937"/>
          <w:sz w:val="22"/>
          <w:szCs w:val="22"/>
        </w:rPr>
        <w:t xml:space="preserve">2. Conditions d'un isolement licite (HAS, 2017) :</w:t>
      </w:r>
    </w:p>
    <w:p>
      <w:pPr>
        <w:pStyle w:val="ListParagraph"/>
        <w:numPr>
          <w:ilvl w:val="0"/>
          <w:numId w:val="1"/>
        </w:numPr>
        <w:spacing w:after="80" w:before="40"/>
      </w:pPr>
      <w:r>
        <w:rPr>
          <w:rFonts w:ascii="Times New Roman" w:cs="Times New Roman" w:eastAsia="Times New Roman" w:hAnsi="Times New Roman"/>
          <w:color w:val="1F2937"/>
          <w:sz w:val="22"/>
          <w:szCs w:val="22"/>
        </w:rPr>
        <w:t xml:space="preserve">Mme A. est en SSC ✓ (condition préalable : seuls les patients en SSC peuvent être isolés)</w:t>
      </w:r>
    </w:p>
    <w:p>
      <w:pPr>
        <w:pStyle w:val="ListParagraph"/>
        <w:numPr>
          <w:ilvl w:val="0"/>
          <w:numId w:val="1"/>
        </w:numPr>
        <w:spacing w:after="80" w:before="40"/>
      </w:pPr>
      <w:r>
        <w:rPr>
          <w:rFonts w:ascii="Times New Roman" w:cs="Times New Roman" w:eastAsia="Times New Roman" w:hAnsi="Times New Roman"/>
          <w:color w:val="1F2937"/>
          <w:sz w:val="22"/>
          <w:szCs w:val="22"/>
        </w:rPr>
        <w:t xml:space="preserve">Dernier recours : les mesures alternatives ont été inefficaces ou inappropriées</w:t>
      </w:r>
    </w:p>
    <w:p>
      <w:pPr>
        <w:pStyle w:val="ListParagraph"/>
        <w:numPr>
          <w:ilvl w:val="0"/>
          <w:numId w:val="1"/>
        </w:numPr>
        <w:spacing w:after="80" w:before="40"/>
      </w:pPr>
      <w:r>
        <w:rPr>
          <w:rFonts w:ascii="Times New Roman" w:cs="Times New Roman" w:eastAsia="Times New Roman" w:hAnsi="Times New Roman"/>
          <w:color w:val="1F2937"/>
          <w:sz w:val="22"/>
          <w:szCs w:val="22"/>
        </w:rPr>
        <w:t xml:space="preserve">Décision d'un psychiatre, prescription documentée dans le dossier</w:t>
      </w:r>
    </w:p>
    <w:p>
      <w:pPr>
        <w:pStyle w:val="ListParagraph"/>
        <w:numPr>
          <w:ilvl w:val="0"/>
          <w:numId w:val="1"/>
        </w:numPr>
        <w:spacing w:after="80" w:before="40"/>
      </w:pPr>
      <w:r>
        <w:rPr>
          <w:rFonts w:ascii="Times New Roman" w:cs="Times New Roman" w:eastAsia="Times New Roman" w:hAnsi="Times New Roman"/>
          <w:color w:val="1F2937"/>
          <w:sz w:val="22"/>
          <w:szCs w:val="22"/>
        </w:rPr>
        <w:t xml:space="preserve">Information donnée à Mme A. sur les raisons de la mesure et les critères de levée</w:t>
      </w:r>
    </w:p>
    <w:p>
      <w:pPr>
        <w:pStyle w:val="ListParagraph"/>
        <w:numPr>
          <w:ilvl w:val="0"/>
          <w:numId w:val="1"/>
        </w:numPr>
        <w:spacing w:after="80" w:before="40"/>
      </w:pPr>
      <w:r>
        <w:rPr>
          <w:rFonts w:ascii="Times New Roman" w:cs="Times New Roman" w:eastAsia="Times New Roman" w:hAnsi="Times New Roman"/>
          <w:color w:val="1F2937"/>
          <w:sz w:val="22"/>
          <w:szCs w:val="22"/>
        </w:rPr>
        <w:t xml:space="preserve">Durée initiale ≤ 12 h ; surveillance psychique au moins horaire ; 2 visites médicales/24 h minimum</w:t>
      </w:r>
    </w:p>
    <w:p>
      <w:pPr>
        <w:spacing w:after="80" w:before="80"/>
      </w:pPr>
      <w:r>
        <w:rPr>
          <w:rFonts w:ascii="Times New Roman" w:cs="Times New Roman" w:eastAsia="Times New Roman" w:hAnsi="Times New Roman"/>
          <w:b/>
          <w:bCs/>
          <w:color w:val="1F2937"/>
          <w:sz w:val="22"/>
          <w:szCs w:val="22"/>
        </w:rPr>
        <w:t xml:space="preserve">3. Valeur de la connaissance du parcours et d'une DAP :</w:t>
      </w:r>
    </w:p>
    <w:p>
      <w:pPr>
        <w:spacing w:after="100" w:before="60"/>
        <w:jc w:val="both"/>
      </w:pPr>
      <w:r>
        <w:rPr>
          <w:rFonts w:ascii="Times New Roman" w:cs="Times New Roman" w:eastAsia="Times New Roman" w:hAnsi="Times New Roman"/>
          <w:color w:val="1F2937"/>
          <w:sz w:val="22"/>
          <w:szCs w:val="22"/>
        </w:rPr>
        <w:t xml:space="preserve">En tant que chef de service, tu peux transmettre à l'équipe hospitalière des informations pertinentes sur Mme A. : ses appuis relationnels, ses réactions habituelles aux crises, ce qui favorise le désamorçage (sans qualifier son état clinique). Si elle a rédigé un plan de crise conjoint, celui-ci peut indiquer ses préférences : médicament toléré, refus de l'isolement, personne de confiance. Transmis à l'équipe, ce document oriente une réponse moins coercitive. L'existence d'une DAP constitue donc un acte de prévention et d'autodétermination, pas seulement un outil de crise.</w:t>
      </w:r>
    </w:p>
    <w:p>
      <w:pPr>
        <w:spacing w:after="160"/>
      </w:pPr>
    </w:p>
    <w:p>
      <w:pPr>
        <w:pStyle w:val="Heading3"/>
        <w:spacing w:after="100" w:before="160"/>
      </w:pPr>
      <w:r>
        <w:rPr>
          <w:rFonts w:ascii="Times New Roman" w:cs="Times New Roman" w:eastAsia="Times New Roman" w:hAnsi="Times New Roman"/>
          <w:b/>
          <w:bCs/>
          <w:color w:val="1F2937"/>
          <w:sz w:val="26"/>
          <w:szCs w:val="26"/>
        </w:rPr>
        <w:t xml:space="preserve">Exercice 3 : Tensions éthiques — autonomie vs protection</w:t>
      </w:r>
    </w:p>
    <w:p>
      <w:pPr>
        <w:spacing w:after="100" w:before="60"/>
        <w:jc w:val="both"/>
      </w:pPr>
      <w:r>
        <w:rPr>
          <w:rFonts w:ascii="Times New Roman" w:cs="Times New Roman" w:eastAsia="Times New Roman" w:hAnsi="Times New Roman"/>
          <w:color w:val="1F2937"/>
          <w:sz w:val="22"/>
          <w:szCs w:val="22"/>
        </w:rPr>
        <w:t xml:space="preserve">La tension éthique fondamentale en psychiatrie oppose le droit à l'autodétermination (refuser des soins) et le devoir de protection (agir face à une incapacité temporaire à consentir). Trois positions schématiques :</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rPr>
          <w:tblHeader/>
        </w:trPr>
        <w:tc>
          <w:tcPr>
            <w:shd w:fill="1B3A6B" w:val="clear"/>
          </w:tcPr>
          <w:p>
            <w:pPr>
              <w:jc w:val="center"/>
            </w:pPr>
            <w:r>
              <w:rPr>
                <w:rFonts w:ascii="Times New Roman" w:cs="Times New Roman" w:eastAsia="Times New Roman" w:hAnsi="Times New Roman"/>
                <w:b/>
                <w:bCs/>
                <w:color w:val="FFFFFF"/>
                <w:sz w:val="20"/>
                <w:szCs w:val="20"/>
              </w:rPr>
              <w:t xml:space="preserve">Position</w:t>
            </w:r>
          </w:p>
        </w:tc>
        <w:tc>
          <w:tcPr>
            <w:shd w:fill="1B3A6B" w:val="clear"/>
          </w:tcPr>
          <w:p>
            <w:pPr>
              <w:jc w:val="center"/>
            </w:pPr>
            <w:r>
              <w:rPr>
                <w:rFonts w:ascii="Times New Roman" w:cs="Times New Roman" w:eastAsia="Times New Roman" w:hAnsi="Times New Roman"/>
                <w:b/>
                <w:bCs/>
                <w:color w:val="FFFFFF"/>
                <w:sz w:val="20"/>
                <w:szCs w:val="20"/>
              </w:rPr>
              <w:t xml:space="preserve">Principe</w:t>
            </w:r>
          </w:p>
        </w:tc>
        <w:tc>
          <w:tcPr>
            <w:shd w:fill="1B3A6B" w:val="clear"/>
          </w:tcPr>
          <w:p>
            <w:pPr>
              <w:jc w:val="center"/>
            </w:pPr>
            <w:r>
              <w:rPr>
                <w:rFonts w:ascii="Times New Roman" w:cs="Times New Roman" w:eastAsia="Times New Roman" w:hAnsi="Times New Roman"/>
                <w:b/>
                <w:bCs/>
                <w:color w:val="FFFFFF"/>
                <w:sz w:val="20"/>
                <w:szCs w:val="20"/>
              </w:rPr>
              <w:t xml:space="preserve">Limite</w:t>
            </w:r>
          </w:p>
        </w:tc>
      </w:tr>
      <w:tr>
        <w:tc>
          <w:tcPr>
            <w:shd w:fill="EEF2F7" w:val="clear"/>
          </w:tcPr>
          <w:p>
            <w:r>
              <w:rPr>
                <w:rFonts w:ascii="Times New Roman" w:cs="Times New Roman" w:eastAsia="Times New Roman" w:hAnsi="Times New Roman"/>
                <w:color w:val="1F2937"/>
                <w:sz w:val="20"/>
                <w:szCs w:val="20"/>
              </w:rPr>
              <w:t xml:space="preserve">Libérale</w:t>
            </w:r>
          </w:p>
        </w:tc>
        <w:tc>
          <w:tcPr>
            <w:shd w:fill="EEF2F7" w:val="clear"/>
          </w:tcPr>
          <w:p>
            <w:r>
              <w:rPr>
                <w:rFonts w:ascii="Times New Roman" w:cs="Times New Roman" w:eastAsia="Times New Roman" w:hAnsi="Times New Roman"/>
                <w:color w:val="1F2937"/>
                <w:sz w:val="20"/>
                <w:szCs w:val="20"/>
              </w:rPr>
              <w:t xml:space="preserve">Le refus de soins doit être respecté ; la capacité à consentir est présumée même si l'état mental est altéré.</w:t>
            </w:r>
          </w:p>
        </w:tc>
        <w:tc>
          <w:tcPr>
            <w:shd w:fill="EEF2F7" w:val="clear"/>
          </w:tcPr>
          <w:p>
            <w:r>
              <w:rPr>
                <w:rFonts w:ascii="Times New Roman" w:cs="Times New Roman" w:eastAsia="Times New Roman" w:hAnsi="Times New Roman"/>
                <w:color w:val="1F2937"/>
                <w:sz w:val="20"/>
                <w:szCs w:val="20"/>
              </w:rPr>
              <w:t xml:space="preserve">Risque de non-protection face à un danger immédiat réel.</w:t>
            </w:r>
          </w:p>
        </w:tc>
      </w:tr>
      <w:tr>
        <w:tc>
          <w:tcPr>
            <w:shd w:fill="FFFFFF" w:val="clear"/>
          </w:tcPr>
          <w:p>
            <w:r>
              <w:rPr>
                <w:rFonts w:ascii="Times New Roman" w:cs="Times New Roman" w:eastAsia="Times New Roman" w:hAnsi="Times New Roman"/>
                <w:color w:val="1F2937"/>
                <w:sz w:val="20"/>
                <w:szCs w:val="20"/>
              </w:rPr>
              <w:t xml:space="preserve">Paternaliste</w:t>
            </w:r>
          </w:p>
        </w:tc>
        <w:tc>
          <w:tcPr>
            <w:shd w:fill="FFFFFF" w:val="clear"/>
          </w:tcPr>
          <w:p>
            <w:r>
              <w:rPr>
                <w:rFonts w:ascii="Times New Roman" w:cs="Times New Roman" w:eastAsia="Times New Roman" w:hAnsi="Times New Roman"/>
                <w:color w:val="1F2937"/>
                <w:sz w:val="20"/>
                <w:szCs w:val="20"/>
              </w:rPr>
              <w:t xml:space="preserve">Le professionnel doit agir dans l'intérêt de la personne, même contre sa volonté, lorsque les troubles abolissent temporairement la capacité à décider.</w:t>
            </w:r>
          </w:p>
        </w:tc>
        <w:tc>
          <w:tcPr>
            <w:shd w:fill="FFFFFF" w:val="clear"/>
          </w:tcPr>
          <w:p>
            <w:r>
              <w:rPr>
                <w:rFonts w:ascii="Times New Roman" w:cs="Times New Roman" w:eastAsia="Times New Roman" w:hAnsi="Times New Roman"/>
                <w:color w:val="1F2937"/>
                <w:sz w:val="20"/>
                <w:szCs w:val="20"/>
              </w:rPr>
              <w:t xml:space="preserve">Risque de stigmatisation et d'abus de la contrainte.</w:t>
            </w:r>
          </w:p>
        </w:tc>
      </w:tr>
      <w:tr>
        <w:tc>
          <w:tcPr>
            <w:shd w:fill="EEF2F7" w:val="clear"/>
          </w:tcPr>
          <w:p>
            <w:r>
              <w:rPr>
                <w:rFonts w:ascii="Times New Roman" w:cs="Times New Roman" w:eastAsia="Times New Roman" w:hAnsi="Times New Roman"/>
                <w:color w:val="1F2937"/>
                <w:sz w:val="20"/>
                <w:szCs w:val="20"/>
              </w:rPr>
              <w:t xml:space="preserve">Intermédiaire (orientation internationale)</w:t>
            </w:r>
          </w:p>
        </w:tc>
        <w:tc>
          <w:tcPr>
            <w:shd w:fill="EEF2F7" w:val="clear"/>
          </w:tcPr>
          <w:p>
            <w:r>
              <w:rPr>
                <w:rFonts w:ascii="Times New Roman" w:cs="Times New Roman" w:eastAsia="Times New Roman" w:hAnsi="Times New Roman"/>
                <w:color w:val="1F2937"/>
                <w:sz w:val="20"/>
                <w:szCs w:val="20"/>
              </w:rPr>
              <w:t xml:space="preserve">Respecter la capacité juridique des personnes, tendre vers zéro contrainte, et utiliser les préférences antérieurement exprimées (DAP) pour guider la réponse.</w:t>
            </w:r>
          </w:p>
        </w:tc>
        <w:tc>
          <w:tcPr>
            <w:shd w:fill="EEF2F7" w:val="clear"/>
          </w:tcPr>
          <w:p>
            <w:r>
              <w:rPr>
                <w:rFonts w:ascii="Times New Roman" w:cs="Times New Roman" w:eastAsia="Times New Roman" w:hAnsi="Times New Roman"/>
                <w:color w:val="1F2937"/>
                <w:sz w:val="20"/>
                <w:szCs w:val="20"/>
              </w:rPr>
              <w:t xml:space="preserve">Exige un travail d'anticipation préalable avec la personne en période stable.</w:t>
            </w:r>
          </w:p>
        </w:tc>
      </w:tr>
    </w:tbl>
    <w:p>
      <w:pPr>
        <w:spacing w:after="80"/>
      </w:pPr>
    </w:p>
    <w:p>
      <w:pPr>
        <w:spacing w:after="100" w:before="60"/>
        <w:jc w:val="both"/>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80" w:before="40"/>
      </w:pPr>
      <w:r>
        <w:rPr>
          <w:rFonts w:ascii="Times New Roman" w:cs="Times New Roman" w:eastAsia="Times New Roman" w:hAnsi="Times New Roman"/>
          <w:color w:val="1F2937"/>
          <w:sz w:val="22"/>
          <w:szCs w:val="22"/>
        </w:rPr>
        <w:t xml:space="preserve">À quel régime d'énoncé appartient chacune de ces positions (fait démontré, recommandation, règle de prudence, usage) ?</w:t>
      </w:r>
    </w:p>
    <w:p>
      <w:pPr>
        <w:pStyle w:val="ListParagraph"/>
        <w:numPr>
          <w:ilvl w:val="0"/>
          <w:numId w:val="1"/>
        </w:numPr>
        <w:spacing w:after="80" w:before="40"/>
      </w:pPr>
      <w:r>
        <w:rPr>
          <w:rFonts w:ascii="Times New Roman" w:cs="Times New Roman" w:eastAsia="Times New Roman" w:hAnsi="Times New Roman"/>
          <w:color w:val="1F2937"/>
          <w:sz w:val="22"/>
          <w:szCs w:val="22"/>
        </w:rPr>
        <w:t xml:space="preserve">En tant qu'observateur non-clinicien en ESSMS, quelle posture professionnelle ces positions t'aident-elles à construire ?</w:t>
      </w:r>
    </w:p>
    <w:p>
      <w:pPr>
        <w:pStyle w:val="Heading3"/>
        <w:spacing w:after="100" w:before="160"/>
      </w:pPr>
      <w:r>
        <w:rPr>
          <w:rFonts w:ascii="Times New Roman" w:cs="Times New Roman" w:eastAsia="Times New Roman" w:hAnsi="Times New Roman"/>
          <w:b/>
          <w:bCs/>
          <w:color w:val="1F2937"/>
          <w:sz w:val="26"/>
          <w:szCs w:val="26"/>
        </w:rPr>
        <w:t xml:space="preserve">Corrigé — Exercice 3</w:t>
      </w:r>
    </w:p>
    <w:p>
      <w:pPr>
        <w:spacing w:after="80" w:before="60"/>
      </w:pPr>
      <w:r>
        <w:rPr>
          <w:rFonts w:ascii="Times New Roman" w:cs="Times New Roman" w:eastAsia="Times New Roman" w:hAnsi="Times New Roman"/>
          <w:b/>
          <w:bCs/>
          <w:color w:val="1F2937"/>
          <w:sz w:val="22"/>
          <w:szCs w:val="22"/>
        </w:rPr>
        <w:t xml:space="preserve">1. Régime de chaque position :</w:t>
      </w:r>
    </w:p>
    <w:p>
      <w:pPr>
        <w:pStyle w:val="ListParagraph"/>
        <w:numPr>
          <w:ilvl w:val="0"/>
          <w:numId w:val="1"/>
        </w:numPr>
        <w:spacing w:after="80" w:before="40"/>
      </w:pPr>
      <w:r>
        <w:rPr>
          <w:rFonts w:ascii="Times New Roman" w:cs="Times New Roman" w:eastAsia="Times New Roman" w:hAnsi="Times New Roman"/>
          <w:b/>
          <w:bCs/>
          <w:color w:val="1F2937"/>
          <w:sz w:val="22"/>
          <w:szCs w:val="22"/>
        </w:rPr>
        <w:t xml:space="preserve">Libérale : </w:t>
      </w:r>
      <w:r>
        <w:rPr>
          <w:rFonts w:ascii="Times New Roman" w:cs="Times New Roman" w:eastAsia="Times New Roman" w:hAnsi="Times New Roman"/>
          <w:color w:val="1F2937"/>
          <w:sz w:val="22"/>
          <w:szCs w:val="22"/>
        </w:rPr>
        <w:t xml:space="preserve">idéal normatif — c'est un positionnement éthique et juridique (droits fondamentaux), pas un fait empirique démontré</w:t>
      </w:r>
    </w:p>
    <w:p>
      <w:pPr>
        <w:pStyle w:val="ListParagraph"/>
        <w:numPr>
          <w:ilvl w:val="0"/>
          <w:numId w:val="1"/>
        </w:numPr>
        <w:spacing w:after="80" w:before="40"/>
      </w:pPr>
      <w:r>
        <w:rPr>
          <w:rFonts w:ascii="Times New Roman" w:cs="Times New Roman" w:eastAsia="Times New Roman" w:hAnsi="Times New Roman"/>
          <w:b/>
          <w:bCs/>
          <w:color w:val="1F2937"/>
          <w:sz w:val="22"/>
          <w:szCs w:val="22"/>
        </w:rPr>
        <w:t xml:space="preserve">Paternaliste : </w:t>
      </w:r>
      <w:r>
        <w:rPr>
          <w:rFonts w:ascii="Times New Roman" w:cs="Times New Roman" w:eastAsia="Times New Roman" w:hAnsi="Times New Roman"/>
          <w:color w:val="1F2937"/>
          <w:sz w:val="22"/>
          <w:szCs w:val="22"/>
        </w:rPr>
        <w:t xml:space="preserve">règle de prudence clinique largement partagée dans la pratique psychiatrique — mais sans statut de fait démontré au sens épidémiologique</w:t>
      </w:r>
    </w:p>
    <w:p>
      <w:pPr>
        <w:pStyle w:val="ListParagraph"/>
        <w:numPr>
          <w:ilvl w:val="0"/>
          <w:numId w:val="1"/>
        </w:numPr>
        <w:spacing w:after="80" w:before="40"/>
      </w:pPr>
      <w:r>
        <w:rPr>
          <w:rFonts w:ascii="Times New Roman" w:cs="Times New Roman" w:eastAsia="Times New Roman" w:hAnsi="Times New Roman"/>
          <w:b/>
          <w:bCs/>
          <w:color w:val="1F2937"/>
          <w:sz w:val="22"/>
          <w:szCs w:val="22"/>
        </w:rPr>
        <w:t xml:space="preserve">Intermédiaire : </w:t>
      </w:r>
      <w:r>
        <w:rPr>
          <w:rFonts w:ascii="Times New Roman" w:cs="Times New Roman" w:eastAsia="Times New Roman" w:hAnsi="Times New Roman"/>
          <w:color w:val="1F2937"/>
          <w:sz w:val="22"/>
          <w:szCs w:val="22"/>
        </w:rPr>
        <w:t xml:space="preserve">orientation de politique publique et de recommandations internationales — une direction à poursuivre, dont la mise en œuvre est encore très partielle en France en 2026</w:t>
      </w:r>
    </w:p>
    <w:p>
      <w:pPr>
        <w:spacing w:after="80" w:before="60"/>
      </w:pPr>
      <w:r>
        <w:rPr>
          <w:rFonts w:ascii="Times New Roman" w:cs="Times New Roman" w:eastAsia="Times New Roman" w:hAnsi="Times New Roman"/>
          <w:b/>
          <w:bCs/>
          <w:color w:val="1F2937"/>
          <w:sz w:val="22"/>
          <w:szCs w:val="22"/>
        </w:rPr>
        <w:t xml:space="preserve">2. Posture professionnelle en ESSMS :</w:t>
      </w:r>
    </w:p>
    <w:p>
      <w:pPr>
        <w:spacing w:after="100" w:before="60"/>
        <w:jc w:val="both"/>
      </w:pPr>
      <w:r>
        <w:rPr>
          <w:rFonts w:ascii="Times New Roman" w:cs="Times New Roman" w:eastAsia="Times New Roman" w:hAnsi="Times New Roman"/>
          <w:color w:val="1F2937"/>
          <w:sz w:val="22"/>
          <w:szCs w:val="22"/>
        </w:rPr>
        <w:t xml:space="preserve">La position de l'accompagnant consiste à : connaître le cadre légal sans s'y substituer ; transmettre les informations pertinentes sur la personne à l'équipe soignante ; soutenir l'équipe éducative avant et après une situation coercitive ; et travailler en période calme à des outils de prévention (plan de crise conjoint) avec la personne concernée. Qualifier l'état mental, décider d'une hospitalisation ou contester une décision médicale ne font pas partie de ce rôle.</w:t>
      </w:r>
    </w:p>
    <w:p>
      <w:pPr>
        <w:pBdr>
          <w:bottom w:val="single" w:color="1B3A6B" w:sz="6"/>
        </w:pBdr>
        <w:spacing w:after="160" w:before="160"/>
      </w:pPr>
      <w:r>
        <w:t xml:space="preserve"/>
      </w:r>
    </w:p>
    <w:p>
      <w:pPr>
        <w:pStyle w:val="Heading2"/>
        <w:spacing w:after="120" w:before="240"/>
      </w:pPr>
      <w:r>
        <w:rPr>
          <w:rFonts w:ascii="Times New Roman" w:cs="Times New Roman" w:eastAsia="Times New Roman" w:hAnsi="Times New Roman"/>
          <w:b/>
          <w:bCs/>
          <w:color w:val="1B3A6B"/>
          <w:sz w:val="30"/>
          <w:szCs w:val="30"/>
        </w:rPr>
        <w:t xml:space="preserve">🎯 Challenge — Analyse d'une situation complexe</w:t>
      </w:r>
    </w:p>
    <w:p>
      <w:pPr>
        <w:spacing w:after="100" w:before="60"/>
        <w:jc w:val="both"/>
      </w:pPr>
      <w:r>
        <w:rPr>
          <w:rFonts w:ascii="Times New Roman" w:cs="Times New Roman" w:eastAsia="Times New Roman" w:hAnsi="Times New Roman"/>
          <w:color w:val="1F2937"/>
          <w:sz w:val="22"/>
          <w:szCs w:val="22"/>
        </w:rPr>
        <w:t xml:space="preserve">M. D., résident de ton foyer depuis 4 ans, vient d'être hospitalisé en SPDT. La famille te contacte, inquiète et confuse sur les droits de M. D. L'équipe éducative est déstabilisée : plusieurs professionnels pensent que « c'est son comportement habituel depuis toujours — ce n'est pas une maladie ». Tu dois gérer la situation à trois niveaux : famille, équipe, articulation avec l'hôpital.</w:t>
      </w:r>
    </w:p>
    <w:p>
      <w:pPr>
        <w:spacing w:after="100" w:before="60"/>
        <w:jc w:val="both"/>
      </w:pPr>
      <w:r>
        <w:rPr>
          <w:rFonts w:ascii="Times New Roman" w:cs="Times New Roman" w:eastAsia="Times New Roman" w:hAnsi="Times New Roman"/>
          <w:color w:val="1F2937"/>
          <w:sz w:val="22"/>
          <w:szCs w:val="22"/>
        </w:rPr>
        <w:t xml:space="preserve">Travaille sur les quatre questions suivantes :</w:t>
      </w:r>
    </w:p>
    <w:p>
      <w:pPr>
        <w:pStyle w:val="ListParagraph"/>
        <w:numPr>
          <w:ilvl w:val="0"/>
          <w:numId w:val="1"/>
        </w:numPr>
        <w:spacing w:after="80" w:before="40"/>
      </w:pPr>
      <w:r>
        <w:rPr>
          <w:rFonts w:ascii="Times New Roman" w:cs="Times New Roman" w:eastAsia="Times New Roman" w:hAnsi="Times New Roman"/>
          <w:color w:val="1F2937"/>
          <w:sz w:val="22"/>
          <w:szCs w:val="22"/>
        </w:rPr>
        <w:t xml:space="preserve">Quel est ton rôle dans cette situation ? Quelles limites ne pas franchir ?</w:t>
      </w:r>
    </w:p>
    <w:p>
      <w:pPr>
        <w:pStyle w:val="ListParagraph"/>
        <w:numPr>
          <w:ilvl w:val="0"/>
          <w:numId w:val="1"/>
        </w:numPr>
        <w:spacing w:after="80" w:before="40"/>
      </w:pPr>
      <w:r>
        <w:rPr>
          <w:rFonts w:ascii="Times New Roman" w:cs="Times New Roman" w:eastAsia="Times New Roman" w:hAnsi="Times New Roman"/>
          <w:color w:val="1F2937"/>
          <w:sz w:val="22"/>
          <w:szCs w:val="22"/>
        </w:rPr>
        <w:t xml:space="preserve">Quelle réponse apporter à la famille sur le plan de l'information légale ?</w:t>
      </w:r>
    </w:p>
    <w:p>
      <w:pPr>
        <w:pStyle w:val="ListParagraph"/>
        <w:numPr>
          <w:ilvl w:val="0"/>
          <w:numId w:val="1"/>
        </w:numPr>
        <w:spacing w:after="80" w:before="40"/>
      </w:pPr>
      <w:r>
        <w:rPr>
          <w:rFonts w:ascii="Times New Roman" w:cs="Times New Roman" w:eastAsia="Times New Roman" w:hAnsi="Times New Roman"/>
          <w:color w:val="1F2937"/>
          <w:sz w:val="22"/>
          <w:szCs w:val="22"/>
        </w:rPr>
        <w:t xml:space="preserve">Comment soutenir l'équipe face à cette réaction ?</w:t>
      </w:r>
    </w:p>
    <w:p>
      <w:pPr>
        <w:pStyle w:val="ListParagraph"/>
        <w:numPr>
          <w:ilvl w:val="0"/>
          <w:numId w:val="1"/>
        </w:numPr>
        <w:spacing w:after="80" w:before="40"/>
      </w:pPr>
      <w:r>
        <w:rPr>
          <w:rFonts w:ascii="Times New Roman" w:cs="Times New Roman" w:eastAsia="Times New Roman" w:hAnsi="Times New Roman"/>
          <w:color w:val="1F2937"/>
          <w:sz w:val="22"/>
          <w:szCs w:val="22"/>
        </w:rPr>
        <w:t xml:space="preserve">Si M. D. avait rédigé un plan de crise conjoint avec l'ESSMS, en quoi cela aurait-il pu changer la situation ?</w:t>
      </w:r>
    </w:p>
    <w:p>
      <w:pPr>
        <w:pStyle w:val="Heading3"/>
        <w:spacing w:after="100" w:before="160"/>
      </w:pPr>
      <w:r>
        <w:rPr>
          <w:rFonts w:ascii="Times New Roman" w:cs="Times New Roman" w:eastAsia="Times New Roman" w:hAnsi="Times New Roman"/>
          <w:b/>
          <w:bCs/>
          <w:color w:val="1F2937"/>
          <w:sz w:val="26"/>
          <w:szCs w:val="26"/>
        </w:rPr>
        <w:t xml:space="preserve">Corrigé — Challenge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rPr>
          <w:tblHeader/>
        </w:trPr>
        <w:tc>
          <w:tcPr>
            <w:shd w:fill="1B3A6B" w:val="clear"/>
          </w:tcPr>
          <w:p>
            <w:pPr>
              <w:jc w:val="center"/>
            </w:pPr>
            <w:r>
              <w:rPr>
                <w:rFonts w:ascii="Times New Roman" w:cs="Times New Roman" w:eastAsia="Times New Roman" w:hAnsi="Times New Roman"/>
                <w:b/>
                <w:bCs/>
                <w:color w:val="FFFFFF"/>
                <w:sz w:val="20"/>
                <w:szCs w:val="20"/>
              </w:rPr>
              <w:t xml:space="preserve">Question</w:t>
            </w:r>
          </w:p>
        </w:tc>
        <w:tc>
          <w:tcPr>
            <w:shd w:fill="1B3A6B" w:val="clear"/>
          </w:tcPr>
          <w:p>
            <w:pPr>
              <w:jc w:val="center"/>
            </w:pPr>
            <w:r>
              <w:rPr>
                <w:rFonts w:ascii="Times New Roman" w:cs="Times New Roman" w:eastAsia="Times New Roman" w:hAnsi="Times New Roman"/>
                <w:b/>
                <w:bCs/>
                <w:color w:val="FFFFFF"/>
                <w:sz w:val="20"/>
                <w:szCs w:val="20"/>
              </w:rPr>
              <w:t xml:space="preserve">Éléments de réponse</w:t>
            </w:r>
          </w:p>
        </w:tc>
      </w:tr>
      <w:tr>
        <w:tc>
          <w:tcPr>
            <w:shd w:fill="EEF2F7" w:val="clear"/>
          </w:tcPr>
          <w:p>
            <w:r>
              <w:rPr>
                <w:rFonts w:ascii="Times New Roman" w:cs="Times New Roman" w:eastAsia="Times New Roman" w:hAnsi="Times New Roman"/>
                <w:color w:val="1F2937"/>
                <w:sz w:val="20"/>
                <w:szCs w:val="20"/>
              </w:rPr>
              <w:t xml:space="preserve">1. Rôle et limites</w:t>
            </w:r>
          </w:p>
        </w:tc>
        <w:tc>
          <w:tcPr>
            <w:shd w:fill="EEF2F7" w:val="clear"/>
          </w:tcPr>
          <w:p>
            <w:r>
              <w:rPr>
                <w:rFonts w:ascii="Times New Roman" w:cs="Times New Roman" w:eastAsia="Times New Roman" w:hAnsi="Times New Roman"/>
                <w:color w:val="1F2937"/>
                <w:sz w:val="20"/>
                <w:szCs w:val="20"/>
              </w:rPr>
              <w:t xml:space="preserve">Rôle : coordonner la continuité de l'accompagnement (logement, affaires, lien administratif avec l'hôpital), informer la famille du cadre légal, soutenir l'équipe. Limites : ne pas qualifier l'état mental de M. D., ne pas contester la décision médicale, ne pas transmettre d'informations médicales protégées sans accord. La distinction « comportement habituel / crise » appartient au clinicien.</w:t>
            </w:r>
          </w:p>
        </w:tc>
      </w:tr>
      <w:tr>
        <w:tc>
          <w:tcPr>
            <w:shd w:fill="FFFFFF" w:val="clear"/>
          </w:tcPr>
          <w:p>
            <w:r>
              <w:rPr>
                <w:rFonts w:ascii="Times New Roman" w:cs="Times New Roman" w:eastAsia="Times New Roman" w:hAnsi="Times New Roman"/>
                <w:color w:val="1F2937"/>
                <w:sz w:val="20"/>
                <w:szCs w:val="20"/>
              </w:rPr>
              <w:t xml:space="preserve">2. Information légale à la famille</w:t>
            </w:r>
          </w:p>
        </w:tc>
        <w:tc>
          <w:tcPr>
            <w:shd w:fill="FFFFFF" w:val="clear"/>
          </w:tcPr>
          <w:p>
            <w:r>
              <w:rPr>
                <w:rFonts w:ascii="Times New Roman" w:cs="Times New Roman" w:eastAsia="Times New Roman" w:hAnsi="Times New Roman"/>
                <w:color w:val="1F2937"/>
                <w:sz w:val="20"/>
                <w:szCs w:val="20"/>
              </w:rPr>
              <w:t xml:space="preserve">M. D. est en SPDT : il conserve le droit de saisir un avocat, d'exercer son droit de vote, de communiquer par courrier, d'être informé des décisions. La famille peut se renseigner auprès de l'établissement hospitalier. L'Unafam (unafam.org) accompagne les proches dans ces situations.</w:t>
            </w:r>
          </w:p>
        </w:tc>
      </w:tr>
      <w:tr>
        <w:tc>
          <w:tcPr>
            <w:shd w:fill="EEF2F7" w:val="clear"/>
          </w:tcPr>
          <w:p>
            <w:r>
              <w:rPr>
                <w:rFonts w:ascii="Times New Roman" w:cs="Times New Roman" w:eastAsia="Times New Roman" w:hAnsi="Times New Roman"/>
                <w:color w:val="1F2937"/>
                <w:sz w:val="20"/>
                <w:szCs w:val="20"/>
              </w:rPr>
              <w:t xml:space="preserve">3. Soutien à l'équipe</w:t>
            </w:r>
          </w:p>
        </w:tc>
        <w:tc>
          <w:tcPr>
            <w:shd w:fill="EEF2F7" w:val="clear"/>
          </w:tcPr>
          <w:p>
            <w:r>
              <w:rPr>
                <w:rFonts w:ascii="Times New Roman" w:cs="Times New Roman" w:eastAsia="Times New Roman" w:hAnsi="Times New Roman"/>
                <w:color w:val="1F2937"/>
                <w:sz w:val="20"/>
                <w:szCs w:val="20"/>
              </w:rPr>
              <w:t xml:space="preserve">Valider l'impact émotionnel de la situation. Rappeler la distinction entre observation professionnelle (ce qu'on voit dans l'accompagnement) et diagnostic clinique (ce que le médecin psychiatre évalue). Posture non stigmatisante : centrée sur la personne et son rétablissement, pas sur l'étiquette diagnostique. Envisager une analyse des pratiques professionnelles dans les jours suivants.</w:t>
            </w:r>
          </w:p>
        </w:tc>
      </w:tr>
      <w:tr>
        <w:tc>
          <w:tcPr>
            <w:shd w:fill="FFFFFF" w:val="clear"/>
          </w:tcPr>
          <w:p>
            <w:r>
              <w:rPr>
                <w:rFonts w:ascii="Times New Roman" w:cs="Times New Roman" w:eastAsia="Times New Roman" w:hAnsi="Times New Roman"/>
                <w:color w:val="1F2937"/>
                <w:sz w:val="20"/>
                <w:szCs w:val="20"/>
              </w:rPr>
              <w:t xml:space="preserve">4. Valeur d'un plan de crise conjoint</w:t>
            </w:r>
          </w:p>
        </w:tc>
        <w:tc>
          <w:tcPr>
            <w:shd w:fill="FFFFFF" w:val="clear"/>
          </w:tcPr>
          <w:p>
            <w:r>
              <w:rPr>
                <w:rFonts w:ascii="Times New Roman" w:cs="Times New Roman" w:eastAsia="Times New Roman" w:hAnsi="Times New Roman"/>
                <w:color w:val="1F2937"/>
                <w:sz w:val="20"/>
                <w:szCs w:val="20"/>
              </w:rPr>
              <w:t xml:space="preserve">Le plan aurait pu indiquer les préférences de M. D. en cas de crise : médicament accepté, refus de l'isolement, personne de confiance à prévenir, modalités de visite. Transmis à l'équipe soignante, il oriente une réponse adaptée. Dans la recherche de Tinland A. et al. (JAMA, rapportée par Psycom, 2022, 394 participants, 1 an de suivi), avoir rempli des directives anticipées en présence de médiateurs de santé pair était associé à une réduction de plus de 30 % des hospitalisations sans consentement dans ce groupe.</w:t>
            </w:r>
          </w:p>
        </w:tc>
      </w:tr>
    </w:tbl>
    <w:p>
      <w:pPr>
        <w:pBdr>
          <w:bottom w:val="single" w:color="1B3A6B" w:sz="6"/>
        </w:pBdr>
        <w:spacing w:after="160" w:before="160"/>
      </w:pPr>
      <w:r>
        <w:t xml:space="preserve"/>
      </w:r>
    </w:p>
    <w:p>
      <w:pPr>
        <w:pStyle w:val="Heading2"/>
        <w:spacing w:after="120" w:before="240"/>
      </w:pPr>
      <w:r>
        <w:rPr>
          <w:rFonts w:ascii="Times New Roman" w:cs="Times New Roman" w:eastAsia="Times New Roman" w:hAnsi="Times New Roman"/>
          <w:b/>
          <w:bCs/>
          <w:color w:val="1B3A6B"/>
          <w:sz w:val="30"/>
          <w:szCs w:val="30"/>
        </w:rPr>
        <w:t xml:space="preserve">🌉 Pont pro</w:t>
      </w:r>
    </w:p>
    <w:p>
      <w:pPr>
        <w:spacing w:after="100" w:before="60"/>
        <w:jc w:val="both"/>
      </w:pPr>
      <w:r>
        <w:rPr>
          <w:rFonts w:ascii="Times New Roman" w:cs="Times New Roman" w:eastAsia="Times New Roman" w:hAnsi="Times New Roman"/>
          <w:color w:val="1F2937"/>
          <w:sz w:val="22"/>
          <w:szCs w:val="22"/>
        </w:rPr>
        <w:t xml:space="preserve">La loi n° 2011-803 du 5 juillet 2011 est le texte de référence pour toute situation d'hospitalisation sans consentement concernant un résident de l'ESSMS. La connaître — sans se substituer aux cliniciens — permet d'informer les familles, de soutenir l'équipe et de préparer un retour dans les meilleures conditions. La montée en charge des directives anticipées en psychiatrie ouvre une opportunité concrète pour les ESSMS : en période stable, avec les résidents et les équipes éducatives, travailler à la rédaction d'un plan de crise conjoint constitue un acte de prévention et d'autodétermination. Ce n'est pas un outil de crise — c'est une démarche préventive, en cohérence avec le paradigme du rétablissement vu en leçon 18.</w:t>
      </w:r>
    </w:p>
    <w:p>
      <w:pPr>
        <w:pBdr>
          <w:bottom w:val="single" w:color="1B3A6B" w:sz="6"/>
        </w:pBdr>
        <w:spacing w:after="160" w:before="160"/>
      </w:pPr>
      <w:r>
        <w:t xml:space="preserve"/>
      </w:r>
    </w:p>
    <w:p>
      <w:pPr>
        <w:pStyle w:val="Heading2"/>
        <w:spacing w:after="120" w:before="240"/>
      </w:pPr>
      <w:r>
        <w:rPr>
          <w:rFonts w:ascii="Times New Roman" w:cs="Times New Roman" w:eastAsia="Times New Roman" w:hAnsi="Times New Roman"/>
          <w:b/>
          <w:bCs/>
          <w:color w:val="1B3A6B"/>
          <w:sz w:val="30"/>
          <w:szCs w:val="30"/>
        </w:rPr>
        <w:t xml:space="preserve">📚 Ressources — Pour approfondir ce thème</w:t>
      </w:r>
    </w:p>
    <w:p>
      <w:pPr>
        <w:pStyle w:val="ListParagraph"/>
        <w:numPr>
          <w:ilvl w:val="0"/>
          <w:numId w:val="1"/>
        </w:numPr>
        <w:spacing w:after="80" w:before="60"/>
      </w:pPr>
      <w:r>
        <w:rPr>
          <w:rFonts w:ascii="Times New Roman" w:cs="Times New Roman" w:eastAsia="Times New Roman" w:hAnsi="Times New Roman"/>
          <w:b/>
          <w:bCs/>
          <w:color w:val="1F2937"/>
          <w:sz w:val="22"/>
          <w:szCs w:val="22"/>
        </w:rPr>
        <w:t xml:space="preserve">1. </w:t>
      </w:r>
      <w:hyperlink w:history="1" r:id="rId_9dk_vgnzwtqap3ijya_x">
        <w:r>
          <w:rPr>
            <w:rFonts w:ascii="Times New Roman" w:cs="Times New Roman" w:eastAsia="Times New Roman" w:hAnsi="Times New Roman"/>
            <w:color w:val="1155CC"/>
            <w:sz w:val="22"/>
            <w:szCs w:val="22"/>
            <w:u w:val="single"/>
          </w:rPr>
          <w:t xml:space="preserve">HAS — Isolement et contention en psychiatrie générale (notice, validation : 22 février 2017)</w:t>
        </w:r>
      </w:hyperlink>
    </w:p>
    <w:p>
      <w:pPr>
        <w:pStyle w:val="ListParagraph"/>
        <w:numPr>
          <w:ilvl w:val="0"/>
          <w:numId w:val="1"/>
        </w:numPr>
        <w:spacing w:after="80" w:before="60"/>
      </w:pPr>
      <w:r>
        <w:rPr>
          <w:rFonts w:ascii="Times New Roman" w:cs="Times New Roman" w:eastAsia="Times New Roman" w:hAnsi="Times New Roman"/>
          <w:b/>
          <w:bCs/>
          <w:color w:val="1F2937"/>
          <w:sz w:val="22"/>
          <w:szCs w:val="22"/>
        </w:rPr>
        <w:t xml:space="preserve">2. </w:t>
      </w:r>
      <w:hyperlink w:history="1" r:id="rIdysycs0by8smvxuv6rssjx">
        <w:r>
          <w:rPr>
            <w:rFonts w:ascii="Times New Roman" w:cs="Times New Roman" w:eastAsia="Times New Roman" w:hAnsi="Times New Roman"/>
            <w:color w:val="1155CC"/>
            <w:sz w:val="22"/>
            <w:szCs w:val="22"/>
            <w:u w:val="single"/>
          </w:rPr>
          <w:t xml:space="preserve">HAS — Texte des recommandations, PDF 45 pages (février 2017)</w:t>
        </w:r>
      </w:hyperlink>
    </w:p>
    <w:p>
      <w:pPr>
        <w:pStyle w:val="ListParagraph"/>
        <w:numPr>
          <w:ilvl w:val="0"/>
          <w:numId w:val="1"/>
        </w:numPr>
        <w:spacing w:after="80" w:before="60"/>
      </w:pPr>
      <w:r>
        <w:rPr>
          <w:rFonts w:ascii="Times New Roman" w:cs="Times New Roman" w:eastAsia="Times New Roman" w:hAnsi="Times New Roman"/>
          <w:b/>
          <w:bCs/>
          <w:color w:val="1F2937"/>
          <w:sz w:val="22"/>
          <w:szCs w:val="22"/>
        </w:rPr>
        <w:t xml:space="preserve">3. </w:t>
      </w:r>
      <w:hyperlink w:history="1" r:id="rIdsws9b3zik91showc0fhqq">
        <w:r>
          <w:rPr>
            <w:rFonts w:ascii="Times New Roman" w:cs="Times New Roman" w:eastAsia="Times New Roman" w:hAnsi="Times New Roman"/>
            <w:color w:val="1155CC"/>
            <w:sz w:val="22"/>
            <w:szCs w:val="22"/>
            <w:u w:val="single"/>
          </w:rPr>
          <w:t xml:space="preserve">Légifrance — Articles L3211-1 à L3211-13 CSP : droits des personnes en SSC [403 anti-robot, page existe]</w:t>
        </w:r>
      </w:hyperlink>
    </w:p>
    <w:p>
      <w:pPr>
        <w:pStyle w:val="ListParagraph"/>
        <w:numPr>
          <w:ilvl w:val="0"/>
          <w:numId w:val="1"/>
        </w:numPr>
        <w:spacing w:after="80" w:before="60"/>
      </w:pPr>
      <w:r>
        <w:rPr>
          <w:rFonts w:ascii="Times New Roman" w:cs="Times New Roman" w:eastAsia="Times New Roman" w:hAnsi="Times New Roman"/>
          <w:b/>
          <w:bCs/>
          <w:color w:val="1F2937"/>
          <w:sz w:val="22"/>
          <w:szCs w:val="22"/>
        </w:rPr>
        <w:t xml:space="preserve">4. </w:t>
      </w:r>
      <w:hyperlink w:history="1" r:id="rId2b2_gmqx78nepxs-0jidj">
        <w:r>
          <w:rPr>
            <w:rFonts w:ascii="Times New Roman" w:cs="Times New Roman" w:eastAsia="Times New Roman" w:hAnsi="Times New Roman"/>
            <w:color w:val="1155CC"/>
            <w:sz w:val="22"/>
            <w:szCs w:val="22"/>
            <w:u w:val="single"/>
          </w:rPr>
          <w:t xml:space="preserve">Légifrance — Loi n° 2011-803 du 5 juillet 2011 (texte intégral) [403 anti-robot, page existe]</w:t>
        </w:r>
      </w:hyperlink>
    </w:p>
    <w:p>
      <w:pPr>
        <w:pStyle w:val="ListParagraph"/>
        <w:numPr>
          <w:ilvl w:val="0"/>
          <w:numId w:val="1"/>
        </w:numPr>
        <w:spacing w:after="80" w:before="60"/>
      </w:pPr>
      <w:r>
        <w:rPr>
          <w:rFonts w:ascii="Times New Roman" w:cs="Times New Roman" w:eastAsia="Times New Roman" w:hAnsi="Times New Roman"/>
          <w:b/>
          <w:bCs/>
          <w:color w:val="1F2937"/>
          <w:sz w:val="22"/>
          <w:szCs w:val="22"/>
        </w:rPr>
        <w:t xml:space="preserve">5. </w:t>
      </w:r>
      <w:hyperlink w:history="1" r:id="rIdhki85dri9t6nbnktnzl7j">
        <w:r>
          <w:rPr>
            <w:rFonts w:ascii="Times New Roman" w:cs="Times New Roman" w:eastAsia="Times New Roman" w:hAnsi="Times New Roman"/>
            <w:color w:val="1155CC"/>
            <w:sz w:val="22"/>
            <w:szCs w:val="22"/>
            <w:u w:val="single"/>
          </w:rPr>
          <w:t xml:space="preserve">Santé Publique France / Moreau D. (2023) — La psychiatrie : domaine d'exception au principe de consentement (La Santé en action, n° 464)</w:t>
        </w:r>
      </w:hyperlink>
    </w:p>
    <w:p>
      <w:pPr>
        <w:pStyle w:val="ListParagraph"/>
        <w:numPr>
          <w:ilvl w:val="0"/>
          <w:numId w:val="1"/>
        </w:numPr>
        <w:spacing w:after="80" w:before="60"/>
      </w:pPr>
      <w:r>
        <w:rPr>
          <w:rFonts w:ascii="Times New Roman" w:cs="Times New Roman" w:eastAsia="Times New Roman" w:hAnsi="Times New Roman"/>
          <w:b/>
          <w:bCs/>
          <w:color w:val="1F2937"/>
          <w:sz w:val="22"/>
          <w:szCs w:val="22"/>
        </w:rPr>
        <w:t xml:space="preserve">6. </w:t>
      </w:r>
      <w:hyperlink w:history="1" r:id="rIdisgqxwfkujajognbwel5c">
        <w:r>
          <w:rPr>
            <w:rFonts w:ascii="Times New Roman" w:cs="Times New Roman" w:eastAsia="Times New Roman" w:hAnsi="Times New Roman"/>
            <w:color w:val="1155CC"/>
            <w:sz w:val="22"/>
            <w:szCs w:val="22"/>
            <w:u w:val="single"/>
          </w:rPr>
          <w:t xml:space="preserve">Santé Mentale / Comité éthique FHF (30 avril 2024) — Consentir aux soins en connaissance de cause</w:t>
        </w:r>
      </w:hyperlink>
    </w:p>
    <w:p>
      <w:pPr>
        <w:pStyle w:val="ListParagraph"/>
        <w:numPr>
          <w:ilvl w:val="0"/>
          <w:numId w:val="1"/>
        </w:numPr>
        <w:spacing w:after="80" w:before="60"/>
      </w:pPr>
      <w:r>
        <w:rPr>
          <w:rFonts w:ascii="Times New Roman" w:cs="Times New Roman" w:eastAsia="Times New Roman" w:hAnsi="Times New Roman"/>
          <w:b/>
          <w:bCs/>
          <w:color w:val="1F2937"/>
          <w:sz w:val="22"/>
          <w:szCs w:val="22"/>
        </w:rPr>
        <w:t xml:space="preserve">7. </w:t>
      </w:r>
      <w:hyperlink w:history="1" r:id="rIdjokmyabyjctnfhk8hrda0">
        <w:r>
          <w:rPr>
            <w:rFonts w:ascii="Times New Roman" w:cs="Times New Roman" w:eastAsia="Times New Roman" w:hAnsi="Times New Roman"/>
            <w:color w:val="1155CC"/>
            <w:sz w:val="22"/>
            <w:szCs w:val="22"/>
            <w:u w:val="single"/>
          </w:rPr>
          <w:t xml:space="preserve">Psycom (22 novembre 2022) — Des directives anticipées, en psychiatrie aussi</w:t>
        </w:r>
      </w:hyperlink>
    </w:p>
    <w:p>
      <w:pPr>
        <w:pBdr>
          <w:bottom w:val="single" w:color="1B3A6B" w:sz="6"/>
        </w:pBdr>
        <w:spacing w:after="160" w:before="160"/>
      </w:pPr>
      <w:r>
        <w:t xml:space="preserve"/>
      </w:r>
    </w:p>
    <w:p>
      <w:pPr>
        <w:pStyle w:val="Heading2"/>
        <w:spacing w:after="120" w:before="240"/>
      </w:pPr>
      <w:r>
        <w:rPr>
          <w:rFonts w:ascii="Times New Roman" w:cs="Times New Roman" w:eastAsia="Times New Roman" w:hAnsi="Times New Roman"/>
          <w:b/>
          <w:bCs/>
          <w:color w:val="1B3A6B"/>
          <w:sz w:val="30"/>
          <w:szCs w:val="30"/>
        </w:rPr>
        <w:t xml:space="preserve">🔜 Prochaine leçon</w:t>
      </w:r>
    </w:p>
    <w:p>
      <w:pPr>
        <w:spacing w:after="100"/>
      </w:pPr>
      <w:r>
        <w:rPr>
          <w:rFonts w:ascii="Times New Roman" w:cs="Times New Roman" w:eastAsia="Times New Roman" w:hAnsi="Times New Roman"/>
          <w:b/>
          <w:bCs/>
          <w:color w:val="1F2937"/>
          <w:sz w:val="22"/>
          <w:szCs w:val="22"/>
        </w:rPr>
        <w:t xml:space="preserve">Leçon 20 / 20 — BILAN : </w:t>
      </w:r>
      <w:r>
        <w:rPr>
          <w:rFonts w:ascii="Times New Roman" w:cs="Times New Roman" w:eastAsia="Times New Roman" w:hAnsi="Times New Roman"/>
          <w:color w:val="1F2937"/>
          <w:sz w:val="22"/>
          <w:szCs w:val="22"/>
        </w:rPr>
        <w:t xml:space="preserve">Synthèse du parcours Psychopathologie clinique. Ce que relient les tableaux cliniques, ce que le cadre permet d'observer sans diagnostiquer, et les repères transmissibles à une équipe éducative. La leçon finale récapitule les 19 leçons, les met en relation, signale ce qui n'a pas pu être traité, et propose des pistes d'approfondissement autonome.</w:t>
      </w:r>
    </w:p>
    <w:p>
      <w:pPr>
        <w:shd w:fill="F3F4F6" w:val="clear"/>
        <w:spacing w:after="100" w:before="80"/>
        <w:ind w:left="576" w:right="576"/>
      </w:pPr>
      <w:r>
        <w:rPr>
          <w:rFonts w:ascii="Times New Roman" w:cs="Times New Roman" w:eastAsia="Times New Roman" w:hAnsi="Times New Roman"/>
          <w:i/>
          <w:iCs/>
          <w:color w:val="1B3A6B"/>
          <w:sz w:val="22"/>
          <w:szCs w:val="22"/>
        </w:rPr>
        <w:t xml:space="preserve">Parcours Psychopathologie clinique · Leçon 19 / 20 · 5 octobre 2026</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9dk_vgnzwtqap3ijya_x" Type="http://schemas.openxmlformats.org/officeDocument/2006/relationships/hyperlink" Target="https://www.has-sante.fr/jcms/c_2055362/fr/isolement-et-contention-en-psychiatrie-generale" TargetMode="External"/><Relationship Id="rIdysycs0by8smvxuv6rssjx" Type="http://schemas.openxmlformats.org/officeDocument/2006/relationships/hyperlink" Target="https://www.has-sante.fr/upload/docs/application/pdf/2017-03/isolement_et_contention_en_psychiatrie_generale_-_recommandations_2017-03-13_10-13-59_378.pdf" TargetMode="External"/><Relationship Id="rIdsws9b3zik91showc0fhqq" Type="http://schemas.openxmlformats.org/officeDocument/2006/relationships/hyperlink" Target="https://www.legifrance.gouv.fr/codes/section_lc/LEGITEXT000006072665/LEGISCTA000006171187/" TargetMode="External"/><Relationship Id="rId2b2_gmqx78nepxs-0jidj" Type="http://schemas.openxmlformats.org/officeDocument/2006/relationships/hyperlink" Target="https://www.legifrance.gouv.fr/jorf/id/JORFTEXT000024312722/" TargetMode="External"/><Relationship Id="rIdhki85dri9t6nbnktnzl7j" Type="http://schemas.openxmlformats.org/officeDocument/2006/relationships/hyperlink" Target="https://www.santepubliquefrance.fr/docs/article/la-psychiatrie-domaine-dexception-au-principe-de-consentement-des-personnes" TargetMode="External"/><Relationship Id="rIdisgqxwfkujajognbwel5c" Type="http://schemas.openxmlformats.org/officeDocument/2006/relationships/hyperlink" Target="https://www.santementale.fr/2024/04/consentir-aux-soins-se-doit-detre-fait-en-connaissance-de-cause/" TargetMode="External"/><Relationship Id="rIdjokmyabyjctnfhk8hrda0" Type="http://schemas.openxmlformats.org/officeDocument/2006/relationships/hyperlink" Target="https://www.psycom.org/actualites/revue-de-presse/des-directives-anticipees-en-psychiatrie-aussi/"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2026-10-05T06:14:09.914Z</dcterms:created>
  <dcterms:modified xsi:type="dcterms:W3CDTF">2026-10-05T06:14:09.942Z</dcterms:modified>
</cp:coreProperties>
</file>

<file path=docProps/custom.xml><?xml version="1.0" encoding="utf-8"?>
<Properties xmlns="http://schemas.openxmlformats.org/officeDocument/2006/custom-properties" xmlns:vt="http://schemas.openxmlformats.org/officeDocument/2006/docPropsVTypes"/>
</file>