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rPr>
          <w:rFonts w:ascii="Times New Roman" w:cs="Times New Roman" w:eastAsia="Times New Roman" w:hAnsi="Times New Roman"/>
          <w:b/>
          <w:bCs/>
          <w:color w:val="1B3A6B"/>
          <w:sz w:val="52"/>
          <w:szCs w:val="52"/>
        </w:rPr>
      </w:pPr>
      <w:r>
        <w:t xml:space="preserve">Leçon Revenus passifs n°11</w:t>
      </w:r>
    </w:p>
    <w:p>
      <w:pPr>
        <w:pStyle w:val="Heading1"/>
        <w:spacing w:after="200" w:before="200"/>
        <w:jc w:val="center"/>
        <w:rPr>
          <w:rFonts w:ascii="Times New Roman" w:cs="Times New Roman" w:eastAsia="Times New Roman" w:hAnsi="Times New Roman"/>
          <w:b/>
          <w:bCs/>
          <w:color w:val="1B3A6B"/>
          <w:sz w:val="52"/>
          <w:szCs w:val="52"/>
        </w:rPr>
      </w:pPr>
      <w:r>
        <w:t xml:space="preserve">Structures juridiques et fiscales pour un créateur de revenus passifs en France</w:t>
      </w:r>
    </w:p>
    <w:p>
      <w:pPr>
        <w:spacing w:after="80" w:before="80"/>
        <w:ind/>
        <w:jc w:val="center"/>
      </w:pPr>
      <w:r>
        <w:rPr>
          <w:rFonts w:ascii="Times New Roman" w:cs="Times New Roman" w:eastAsia="Times New Roman" w:hAnsi="Times New Roman"/>
          <w:b/>
          <w:bCs/>
          <w:i w:val="false"/>
          <w:iCs w:val="false"/>
          <w:color w:val="1F2937"/>
          <w:sz w:val="22"/>
          <w:szCs w:val="22"/>
        </w:rPr>
        <w:t xml:space="preserve">Leçon 11 / 10+ — Approfondissement — 4 octobre 2026</w:t>
      </w:r>
    </w:p>
    <w:p>
      <w:pPr>
        <w:spacing w:after="80" w:before="80"/>
        <w:ind/>
        <w:jc w:val="center"/>
      </w:pPr>
      <w:r>
        <w:rPr>
          <w:rFonts w:ascii="Times New Roman" w:cs="Times New Roman" w:eastAsia="Times New Roman" w:hAnsi="Times New Roman"/>
          <w:b w:val="false"/>
          <w:bCs w:val="false"/>
          <w:i/>
          <w:iCs/>
          <w:color w:val="1F2937"/>
          <w:sz w:val="22"/>
          <w:szCs w:val="22"/>
        </w:rPr>
        <w:t xml:space="preserve">(Les 10 leçons du parcours initial sont couvertes. Cette leçon approfondit la dimension juridique et fiscale, transversale à tous les modèles.)</w:t>
      </w:r>
    </w:p>
    <w:p>
      <w:pPr>
        <w:spacing w:after="60" w:before="60"/>
      </w:pPr>
    </w:p>
    <w:p>
      <w:pPr>
        <w:spacing w:after="120" w:before="300"/>
      </w:pPr>
      <w:r>
        <w:rPr>
          <w:rFonts w:ascii="Times New Roman" w:cs="Times New Roman" w:eastAsia="Times New Roman" w:hAnsi="Times New Roman"/>
          <w:b/>
          <w:bCs/>
          <w:color w:val="1B3A6B"/>
          <w:sz w:val="30"/>
          <w:szCs w:val="30"/>
        </w:rPr>
        <w:t xml:space="preserve">⚠️ Cadre déontologique</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Cette leçon est ÉDUCATIVE et GÉNÉRALISTE. Elle n'a pas valeur de conseil en investissement ni de recommandation personnalisée.</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En France, le conseil en investissement financier est une activité réglementée (statut CIF, registre ORIAS).</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Cette leçon n'indique pas quoi créer, quand, ni pour quel montant. Toute décision relève de vous, le cas échéant avec un professionnel agréé.</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Le secteur des « revenus passifs » est saturé d'arnaques documentées. Cette leçon en expose les mécanismes sans complaisance.</w:t>
      </w:r>
    </w:p>
    <w:p>
      <w:pPr>
        <w:spacing w:after="60" w:before="60"/>
      </w:pPr>
    </w:p>
    <w:p>
      <w:pPr>
        <w:spacing w:after="120" w:before="300"/>
      </w:pPr>
      <w:r>
        <w:rPr>
          <w:rFonts w:ascii="Times New Roman" w:cs="Times New Roman" w:eastAsia="Times New Roman" w:hAnsi="Times New Roman"/>
          <w:b/>
          <w:bCs/>
          <w:color w:val="1B3A6B"/>
          <w:sz w:val="30"/>
          <w:szCs w:val="30"/>
        </w:rPr>
        <w:t xml:space="preserve">🎯 Objectif et continuité</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 statut juridique le plus adapté à un modèle de revenu passif selon son CA, sa nature et son niveau de protection sociale souhaité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calculer l'impact réel des cotisations et de la fiscalité sur un revenu brut, pour les trois structures principales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reconnaître les pièges fiscaux spécifiques aux créateurs de revenus passifs (TVA, dividendes, cumul de statuts).</w:t>
      </w:r>
    </w:p>
    <w:p>
      <w:pPr>
        <w:spacing w:after="60" w:before="60"/>
      </w:pP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Lien avec les leçons précédentes : les leçons 5 à 9 ont décrit des modèles concrets (produits numériques, placements, SCPI, micro-SaaS). Elles supposaient partout un cadre juridique — sans jamais le nommer. Cette leçon comble ce manque.</w:t>
      </w:r>
    </w:p>
    <w:p>
      <w:pPr>
        <w:spacing w:after="60" w:before="60"/>
      </w:pPr>
    </w:p>
    <w:p>
      <w:pPr>
        <w:spacing w:after="120" w:before="300"/>
      </w:pPr>
      <w:r>
        <w:rPr>
          <w:rFonts w:ascii="Times New Roman" w:cs="Times New Roman" w:eastAsia="Times New Roman" w:hAnsi="Times New Roman"/>
          <w:b/>
          <w:bCs/>
          <w:color w:val="1B3A6B"/>
          <w:sz w:val="30"/>
          <w:szCs w:val="30"/>
        </w:rPr>
        <w:t xml:space="preserve">🔬 Théorie (20 %)</w:t>
      </w:r>
    </w:p>
    <w:p>
      <w:pPr>
        <w:spacing w:after="80" w:before="200"/>
      </w:pPr>
      <w:r>
        <w:rPr>
          <w:rFonts w:ascii="Times New Roman" w:cs="Times New Roman" w:eastAsia="Times New Roman" w:hAnsi="Times New Roman"/>
          <w:b/>
          <w:bCs/>
          <w:color w:val="1F2937"/>
          <w:sz w:val="26"/>
          <w:szCs w:val="26"/>
        </w:rPr>
        <w:t xml:space="preserve">1. Pourquoi le statut juridique change tout</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Un même revenu passif brut peut donner des résultats nets très différents selon le statut — les exercices de cette leçon le quantifient. La différence ne vient pas de la productivité du modèle, mais de la structure fiscale et sociale dans laquelle il est logé. Choisir sans comparer revient à laisser plusieurs milliers d'euros sur la table — ou à générer des obligations comptables et sociales que le modèle ne peut pas absorber.</w:t>
      </w:r>
    </w:p>
    <w:p>
      <w:pPr>
        <w:spacing w:after="60" w:before="60"/>
      </w:pPr>
    </w:p>
    <w:p>
      <w:pPr>
        <w:spacing w:after="80" w:before="200"/>
      </w:pPr>
      <w:r>
        <w:rPr>
          <w:rFonts w:ascii="Times New Roman" w:cs="Times New Roman" w:eastAsia="Times New Roman" w:hAnsi="Times New Roman"/>
          <w:b/>
          <w:bCs/>
          <w:color w:val="1F2937"/>
          <w:sz w:val="26"/>
          <w:szCs w:val="26"/>
        </w:rPr>
        <w:t xml:space="preserve">2. Les trois structures principales pour un créateur individuel en France</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Pour quelqu'un qui crée des revenus passifs (produits numériques, contenu, placements, rentes) sans salarié, trois structures couvrent 95 % des cas :</w:t>
      </w:r>
    </w:p>
    <w:p>
      <w:pPr>
        <w:spacing w:after="60" w:before="60"/>
      </w:pPr>
    </w:p>
    <w:p>
      <w:pPr>
        <w:spacing w:after="80" w:before="80"/>
        <w:ind/>
        <w:jc w:val="left"/>
      </w:pPr>
      <w:r>
        <w:rPr>
          <w:rFonts w:ascii="Times New Roman" w:cs="Times New Roman" w:eastAsia="Times New Roman" w:hAnsi="Times New Roman"/>
          <w:b/>
          <w:bCs/>
          <w:i w:val="false"/>
          <w:iCs w:val="false"/>
          <w:color w:val="1F2937"/>
          <w:sz w:val="22"/>
          <w:szCs w:val="22"/>
        </w:rPr>
        <w:t xml:space="preserve">A. La micro-entreprise (« auto-entrepreneur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Statut individuel simplifié, créé pour faciliter les démarches. Deux conditions de plafond de chiffre d'affaires pour 2026 (source : entreprendre.service-public.gouv.fr)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203 100 € pour les activités de vente de marchandises (BIC)</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83 600 € pour les prestations de services (BIC ou BNC)</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Cotisations sociales appliquées directement sur le CA encaissé (source : autoentrepreneur.urssaf.fr)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1B3A6B" w:val="solid"/>
            <w:vAlign w:val="center"/>
          </w:tcPr>
          <w:p>
            <w:r>
              <w:rPr>
                <w:rFonts w:ascii="Times New Roman" w:cs="Times New Roman" w:eastAsia="Times New Roman" w:hAnsi="Times New Roman"/>
                <w:b/>
                <w:bCs/>
                <w:color w:val="FFFFFF"/>
                <w:sz w:val="18"/>
                <w:szCs w:val="18"/>
              </w:rPr>
              <w:t xml:space="preserve">Type d'activité</w:t>
            </w:r>
          </w:p>
        </w:tc>
        <w:tc>
          <w:tcPr>
            <w:tcW w:type="pct" w:w="50%"/>
            <w:shd w:color="1B3A6B" w:val="solid"/>
            <w:vAlign w:val="center"/>
          </w:tcPr>
          <w:p>
            <w:r>
              <w:rPr>
                <w:rFonts w:ascii="Times New Roman" w:cs="Times New Roman" w:eastAsia="Times New Roman" w:hAnsi="Times New Roman"/>
                <w:b/>
                <w:bCs/>
                <w:color w:val="FFFFFF"/>
                <w:sz w:val="18"/>
                <w:szCs w:val="18"/>
              </w:rPr>
              <w:t xml:space="preserve">Taux de cotisations sociales</w:t>
            </w:r>
          </w:p>
        </w:tc>
      </w:tr>
      <w:tr>
        <w:tc>
          <w:tcPr>
            <w:tcW w:type="pct" w:w="50%"/>
            <w:shd w:color="FFFFFF" w:val="solid"/>
            <w:vAlign w:val="center"/>
          </w:tcPr>
          <w:p>
            <w:r>
              <w:rPr>
                <w:rFonts w:ascii="Times New Roman" w:cs="Times New Roman" w:eastAsia="Times New Roman" w:hAnsi="Times New Roman"/>
                <w:color w:val="1F2937"/>
                <w:sz w:val="18"/>
                <w:szCs w:val="18"/>
              </w:rPr>
              <w:t xml:space="preserve">Achat/revente de marchandises (BIC)</w:t>
            </w:r>
          </w:p>
        </w:tc>
        <w:tc>
          <w:tcPr>
            <w:tcW w:type="pct" w:w="50%"/>
            <w:shd w:color="FFFFFF" w:val="solid"/>
            <w:vAlign w:val="center"/>
          </w:tcPr>
          <w:p>
            <w:r>
              <w:rPr>
                <w:rFonts w:ascii="Times New Roman" w:cs="Times New Roman" w:eastAsia="Times New Roman" w:hAnsi="Times New Roman"/>
                <w:color w:val="1F2937"/>
                <w:sz w:val="18"/>
                <w:szCs w:val="18"/>
              </w:rPr>
              <w:t xml:space="preserve">12,3 %</w:t>
            </w:r>
          </w:p>
        </w:tc>
      </w:tr>
      <w:tr>
        <w:tc>
          <w:tcPr>
            <w:tcW w:type="pct" w:w="50%"/>
            <w:shd w:color="EEF2F7" w:val="solid"/>
            <w:vAlign w:val="center"/>
          </w:tcPr>
          <w:p>
            <w:r>
              <w:rPr>
                <w:rFonts w:ascii="Times New Roman" w:cs="Times New Roman" w:eastAsia="Times New Roman" w:hAnsi="Times New Roman"/>
                <w:color w:val="1F2937"/>
                <w:sz w:val="18"/>
                <w:szCs w:val="18"/>
              </w:rPr>
              <w:t xml:space="preserve">Prestations de services commerciales et artisanales, y compris locations meublées de toutes natures et chambres d'hôtes (BIC)</w:t>
            </w:r>
          </w:p>
        </w:tc>
        <w:tc>
          <w:tcPr>
            <w:tcW w:type="pct" w:w="50%"/>
            <w:shd w:color="EEF2F7" w:val="solid"/>
            <w:vAlign w:val="center"/>
          </w:tcPr>
          <w:p>
            <w:r>
              <w:rPr>
                <w:rFonts w:ascii="Times New Roman" w:cs="Times New Roman" w:eastAsia="Times New Roman" w:hAnsi="Times New Roman"/>
                <w:color w:val="1F2937"/>
                <w:sz w:val="18"/>
                <w:szCs w:val="18"/>
              </w:rPr>
              <w:t xml:space="preserve">21,2 %</w:t>
            </w:r>
          </w:p>
        </w:tc>
      </w:tr>
      <w:tr>
        <w:tc>
          <w:tcPr>
            <w:tcW w:type="pct" w:w="50%"/>
            <w:shd w:color="FFFFFF" w:val="solid"/>
            <w:vAlign w:val="center"/>
          </w:tcPr>
          <w:p>
            <w:r>
              <w:rPr>
                <w:rFonts w:ascii="Times New Roman" w:cs="Times New Roman" w:eastAsia="Times New Roman" w:hAnsi="Times New Roman"/>
                <w:color w:val="1F2937"/>
                <w:sz w:val="18"/>
                <w:szCs w:val="18"/>
              </w:rPr>
              <w:t xml:space="preserve">Autres prestations de services (BNC)</w:t>
            </w:r>
          </w:p>
        </w:tc>
        <w:tc>
          <w:tcPr>
            <w:tcW w:type="pct" w:w="50%"/>
            <w:shd w:color="FFFFFF" w:val="solid"/>
            <w:vAlign w:val="center"/>
          </w:tcPr>
          <w:p>
            <w:r>
              <w:rPr>
                <w:rFonts w:ascii="Times New Roman" w:cs="Times New Roman" w:eastAsia="Times New Roman" w:hAnsi="Times New Roman"/>
                <w:color w:val="1F2937"/>
                <w:sz w:val="18"/>
                <w:szCs w:val="18"/>
              </w:rPr>
              <w:t xml:space="preserve">25,6 %</w:t>
            </w:r>
          </w:p>
        </w:tc>
      </w:tr>
      <w:tr>
        <w:tc>
          <w:tcPr>
            <w:tcW w:type="pct" w:w="50%"/>
            <w:shd w:color="EEF2F7" w:val="solid"/>
            <w:vAlign w:val="center"/>
          </w:tcPr>
          <w:p>
            <w:r>
              <w:rPr>
                <w:rFonts w:ascii="Times New Roman" w:cs="Times New Roman" w:eastAsia="Times New Roman" w:hAnsi="Times New Roman"/>
                <w:color w:val="1F2937"/>
                <w:sz w:val="18"/>
                <w:szCs w:val="18"/>
              </w:rPr>
              <w:t xml:space="preserve">Professions libérales réglementées relevant de la CIPAV (BIC et BNC)</w:t>
            </w:r>
          </w:p>
        </w:tc>
        <w:tc>
          <w:tcPr>
            <w:tcW w:type="pct" w:w="50%"/>
            <w:shd w:color="EEF2F7" w:val="solid"/>
            <w:vAlign w:val="center"/>
          </w:tcPr>
          <w:p>
            <w:r>
              <w:rPr>
                <w:rFonts w:ascii="Times New Roman" w:cs="Times New Roman" w:eastAsia="Times New Roman" w:hAnsi="Times New Roman"/>
                <w:color w:val="1F2937"/>
                <w:sz w:val="18"/>
                <w:szCs w:val="18"/>
              </w:rPr>
              <w:t xml:space="preserve">23,2 %</w:t>
            </w:r>
          </w:p>
        </w:tc>
      </w:tr>
      <w:tr>
        <w:tc>
          <w:tcPr>
            <w:tcW w:type="pct" w:w="50%"/>
            <w:shd w:color="FFFFFF" w:val="solid"/>
            <w:vAlign w:val="center"/>
          </w:tcPr>
          <w:p>
            <w:r>
              <w:rPr>
                <w:rFonts w:ascii="Times New Roman" w:cs="Times New Roman" w:eastAsia="Times New Roman" w:hAnsi="Times New Roman"/>
                <w:color w:val="1F2937"/>
                <w:sz w:val="18"/>
                <w:szCs w:val="18"/>
              </w:rPr>
              <w:t xml:space="preserve">Location de meublés de tourisme classés</w:t>
            </w:r>
          </w:p>
        </w:tc>
        <w:tc>
          <w:tcPr>
            <w:tcW w:type="pct" w:w="50%"/>
            <w:shd w:color="FFFFFF" w:val="solid"/>
            <w:vAlign w:val="center"/>
          </w:tcPr>
          <w:p>
            <w:r>
              <w:rPr>
                <w:rFonts w:ascii="Times New Roman" w:cs="Times New Roman" w:eastAsia="Times New Roman" w:hAnsi="Times New Roman"/>
                <w:color w:val="1F2937"/>
                <w:sz w:val="18"/>
                <w:szCs w:val="18"/>
              </w:rPr>
              <w:t xml:space="preserve">6 %</w:t>
            </w:r>
          </w:p>
        </w:tc>
      </w:tr>
    </w:tbl>
    <w:p>
      <w:pPr>
        <w:spacing w:after="60" w:before="60"/>
      </w:pP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Option versement libératoire de l'impôt sur le revenu (IR payé en même temps que les cotisations, source : autoentrepreneur.urssaf.fr)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 pour l'achat/revente, la vente à consommer sur place et la prestation d'hébergement (BIC)</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1,7 % pour les prestations de services relevant des BIC (y compris locations meublées)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2,2 % pour les autres prestations de services (BNC)</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Principe fondamental : 0 € encaissé = 0 € de cotisations ni d'IR (source : autoentrepreneur.urssaf.fr). Avantage clé pour les revenus irréguliers.</w:t>
      </w:r>
    </w:p>
    <w:p>
      <w:pPr>
        <w:spacing w:after="60" w:before="60"/>
      </w:pPr>
    </w:p>
    <w:p>
      <w:pPr>
        <w:spacing w:after="80" w:before="80"/>
        <w:ind/>
        <w:jc w:val="left"/>
      </w:pPr>
      <w:r>
        <w:rPr>
          <w:rFonts w:ascii="Times New Roman" w:cs="Times New Roman" w:eastAsia="Times New Roman" w:hAnsi="Times New Roman"/>
          <w:b/>
          <w:bCs/>
          <w:i w:val="false"/>
          <w:iCs w:val="false"/>
          <w:color w:val="1F2937"/>
          <w:sz w:val="22"/>
          <w:szCs w:val="22"/>
        </w:rPr>
        <w:t xml:space="preserve">B. La SASU (Société par Actions Simplifiée Unipersonnelle)</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Société unipersonnelle soumise de plein droit à l'impôt sur les sociétés (IS). Aucun plafond de CA. Comptabilité réelle obligatoire.</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Taux IS (source : entreprendre.service-public.gouv.fr)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Taux normal : 25 % sur l'ensemble du bénéfice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Taux réduit : 15 % sur la part des bénéfices allant jusqu'à 42 500 €, sous deux conditions cumulatives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CA inférieur ou égal à 10 000 000 € au cours de l'exercice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Capital social entièrement libéré et détenu pour au moins 75 % par des personnes physiques</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Si le dirigeant se verse un salaire, les cotisations sociales en SASU représentent environ 60 % de la rémunération brute (source : bpifrance-creation.fr, approximation — à vérifier selon la situation précise). Si aucun salaire n'est versé : aucune cotisation sociale due.</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Dividendes distribués depuis une SASU : soumis au prélèvement forfaitaire unique (PFU). Taux PFU sur dividendes depuis le 01/01/2026 (source : impots.gouv.fr)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12,8 % au titre de l'impôt sur le revenu</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18,6 % au titre des prélèvements sociaux (taux applicable aux dividendes depuis le 01/01/2026)</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Total PFU sur dividendes : 31,4 %</w:t>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Important : le taux de 18,6 % des prélèvements sociaux applicable depuis le 01/01/2026 ne concerne pas les produits d'assurance-vie</w:t>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et de capitalisation ni certains PEL/CEL antérieurs à 2018, qui restent à 17,2 %. Pour les dividendes d'une SASU ordinaire, c'est 18,6 %.</w:t>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(Source : impots.gouv.fr – « Les revenus mobiliers »)</w:t>
      </w:r>
    </w:p>
    <w:p>
      <w:pPr>
        <w:spacing w:after="60" w:before="60"/>
      </w:pPr>
    </w:p>
    <w:p>
      <w:pPr>
        <w:spacing w:after="80" w:before="80"/>
        <w:ind/>
        <w:jc w:val="left"/>
      </w:pPr>
      <w:r>
        <w:rPr>
          <w:rFonts w:ascii="Times New Roman" w:cs="Times New Roman" w:eastAsia="Times New Roman" w:hAnsi="Times New Roman"/>
          <w:b/>
          <w:bCs/>
          <w:i w:val="false"/>
          <w:iCs w:val="false"/>
          <w:color w:val="1F2937"/>
          <w:sz w:val="22"/>
          <w:szCs w:val="22"/>
        </w:rPr>
        <w:t xml:space="preserve">C. L'EURL (Entreprise Unipersonnelle à Responsabilité Limitée)</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Société unipersonnelle soumise par défaut à l'IR (et non à l'IS, contrairement à la SASU). Le gérant majoritaire relève du régime TNS (travailleur non-salarié), avec des cotisations sociales généralement moins élevées qu'en SASU mais supérieures à la micro-entreprise.</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SASU ou EURL : le traitement des dividendes diffère significativement.</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En EURL soumise à l'IR, les dividendes peuvent être intégralement soumis aux cotisations sociales TNS au-delà d'un seuil lié au capital social.</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En SASU, les dividendes sont soumis au PFU (31,4 %) sans cotisations sociales.</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Données non lues depuis une source primaire lors de cette exécution pour l'EURL — vérifier auprès</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d'un expert-comptable ou sur entreprendre.service-public.gouv.fr avant toute décision.</w:t>
      </w:r>
    </w:p>
    <w:p>
      <w:pPr>
        <w:spacing w:after="60" w:before="60"/>
      </w:pPr>
    </w:p>
    <w:p>
      <w:pPr>
        <w:spacing w:after="80" w:before="200"/>
      </w:pPr>
      <w:r>
        <w:rPr>
          <w:rFonts w:ascii="Times New Roman" w:cs="Times New Roman" w:eastAsia="Times New Roman" w:hAnsi="Times New Roman"/>
          <w:b/>
          <w:bCs/>
          <w:color w:val="1F2937"/>
          <w:sz w:val="26"/>
          <w:szCs w:val="26"/>
        </w:rPr>
        <w:t xml:space="preserve">3. La franchise en base de TVA</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Un micro-entrepreneur bénéficie d'une franchise de TVA tant que son CA reste sous certains seuils. Les seuils ci-dessous sont ceux applicables en 2025 (basés sur le CA 2024, source : autoentrepreneur.urssaf.fr) — les seuils 2026 doivent être vérifiés sur le site URSSAF autoentrepreneur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B3A6B" w:val="solid"/>
            <w:vAlign w:val="center"/>
          </w:tcPr>
          <w:p>
            <w:r>
              <w:rPr>
                <w:rFonts w:ascii="Times New Roman" w:cs="Times New Roman" w:eastAsia="Times New Roman" w:hAnsi="Times New Roman"/>
                <w:b/>
                <w:bCs/>
                <w:color w:val="FFFFFF"/>
                <w:sz w:val="18"/>
                <w:szCs w:val="18"/>
              </w:rPr>
              <w:t xml:space="preserve">Type d'activité</w:t>
            </w:r>
          </w:p>
        </w:tc>
        <w:tc>
          <w:tcPr>
            <w:tcW w:type="pct" w:w="33%"/>
            <w:shd w:color="1B3A6B" w:val="solid"/>
            <w:vAlign w:val="center"/>
          </w:tcPr>
          <w:p>
            <w:r>
              <w:rPr>
                <w:rFonts w:ascii="Times New Roman" w:cs="Times New Roman" w:eastAsia="Times New Roman" w:hAnsi="Times New Roman"/>
                <w:b/>
                <w:bCs/>
                <w:color w:val="FFFFFF"/>
                <w:sz w:val="18"/>
                <w:szCs w:val="18"/>
              </w:rPr>
              <w:t xml:space="preserve">Seuil de base (franchise)</w:t>
            </w:r>
          </w:p>
        </w:tc>
        <w:tc>
          <w:tcPr>
            <w:tcW w:type="pct" w:w="33%"/>
            <w:shd w:color="1B3A6B" w:val="solid"/>
            <w:vAlign w:val="center"/>
          </w:tcPr>
          <w:p>
            <w:r>
              <w:rPr>
                <w:rFonts w:ascii="Times New Roman" w:cs="Times New Roman" w:eastAsia="Times New Roman" w:hAnsi="Times New Roman"/>
                <w:b/>
                <w:bCs/>
                <w:color w:val="FFFFFF"/>
                <w:sz w:val="18"/>
                <w:szCs w:val="18"/>
              </w:rPr>
              <w:t xml:space="preserve">Seuil majoré (exclusion immédiate)</w:t>
            </w:r>
          </w:p>
        </w:tc>
      </w:tr>
      <w:tr>
        <w:tc>
          <w:tcPr>
            <w:tcW w:type="pct" w:w="33%"/>
            <w:shd w:color="FFFFFF" w:val="solid"/>
            <w:vAlign w:val="center"/>
          </w:tcPr>
          <w:p>
            <w:r>
              <w:rPr>
                <w:rFonts w:ascii="Times New Roman" w:cs="Times New Roman" w:eastAsia="Times New Roman" w:hAnsi="Times New Roman"/>
                <w:color w:val="1F2937"/>
                <w:sz w:val="18"/>
                <w:szCs w:val="18"/>
              </w:rPr>
              <w:t xml:space="preserve">Vente de marchandises</w:t>
            </w:r>
          </w:p>
        </w:tc>
        <w:tc>
          <w:tcPr>
            <w:tcW w:type="pct" w:w="33%"/>
            <w:shd w:color="FFFFFF" w:val="solid"/>
            <w:vAlign w:val="center"/>
          </w:tcPr>
          <w:p>
            <w:r>
              <w:rPr>
                <w:rFonts w:ascii="Times New Roman" w:cs="Times New Roman" w:eastAsia="Times New Roman" w:hAnsi="Times New Roman"/>
                <w:color w:val="1F2937"/>
                <w:sz w:val="18"/>
                <w:szCs w:val="18"/>
              </w:rPr>
              <w:t xml:space="preserve">85 000 €</w:t>
            </w:r>
          </w:p>
        </w:tc>
        <w:tc>
          <w:tcPr>
            <w:tcW w:type="pct" w:w="33%"/>
            <w:shd w:color="FFFFFF" w:val="solid"/>
            <w:vAlign w:val="center"/>
          </w:tcPr>
          <w:p>
            <w:r>
              <w:rPr>
                <w:rFonts w:ascii="Times New Roman" w:cs="Times New Roman" w:eastAsia="Times New Roman" w:hAnsi="Times New Roman"/>
                <w:color w:val="1F2937"/>
                <w:sz w:val="18"/>
                <w:szCs w:val="18"/>
              </w:rPr>
              <w:t xml:space="preserve">93 500 €</w:t>
            </w:r>
          </w:p>
        </w:tc>
      </w:tr>
      <w:tr>
        <w:tc>
          <w:tcPr>
            <w:tcW w:type="pct" w:w="33%"/>
            <w:shd w:color="EEF2F7" w:val="solid"/>
            <w:vAlign w:val="center"/>
          </w:tcPr>
          <w:p>
            <w:r>
              <w:rPr>
                <w:rFonts w:ascii="Times New Roman" w:cs="Times New Roman" w:eastAsia="Times New Roman" w:hAnsi="Times New Roman"/>
                <w:color w:val="1F2937"/>
                <w:sz w:val="18"/>
                <w:szCs w:val="18"/>
              </w:rPr>
              <w:t xml:space="preserve">Prestations de services</w:t>
            </w:r>
          </w:p>
        </w:tc>
        <w:tc>
          <w:tcPr>
            <w:tcW w:type="pct" w:w="33%"/>
            <w:shd w:color="EEF2F7" w:val="solid"/>
            <w:vAlign w:val="center"/>
          </w:tcPr>
          <w:p>
            <w:r>
              <w:rPr>
                <w:rFonts w:ascii="Times New Roman" w:cs="Times New Roman" w:eastAsia="Times New Roman" w:hAnsi="Times New Roman"/>
                <w:color w:val="1F2937"/>
                <w:sz w:val="18"/>
                <w:szCs w:val="18"/>
              </w:rPr>
              <w:t xml:space="preserve">37 500 €</w:t>
            </w:r>
          </w:p>
        </w:tc>
        <w:tc>
          <w:tcPr>
            <w:tcW w:type="pct" w:w="33%"/>
            <w:shd w:color="EEF2F7" w:val="solid"/>
            <w:vAlign w:val="center"/>
          </w:tcPr>
          <w:p>
            <w:r>
              <w:rPr>
                <w:rFonts w:ascii="Times New Roman" w:cs="Times New Roman" w:eastAsia="Times New Roman" w:hAnsi="Times New Roman"/>
                <w:color w:val="1F2937"/>
                <w:sz w:val="18"/>
                <w:szCs w:val="18"/>
              </w:rPr>
              <w:t xml:space="preserve">41 250 €</w:t>
            </w:r>
          </w:p>
        </w:tc>
      </w:tr>
    </w:tbl>
    <w:p>
      <w:pPr>
        <w:spacing w:after="60" w:before="60"/>
      </w:pP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Au-delà du seuil majoré : TVA due dès l'année du dépassement. Mention obligatoire sur les factures sous le seuil : « TVA non applicable - article 293 B du CGI » (source : autoentrepreneur.urssaf.fr).</w:t>
      </w:r>
    </w:p>
    <w:p>
      <w:pPr>
        <w:spacing w:after="60" w:before="60"/>
      </w:pPr>
    </w:p>
    <w:p>
      <w:pPr>
        <w:spacing w:after="120" w:before="300"/>
      </w:pPr>
      <w:r>
        <w:rPr>
          <w:rFonts w:ascii="Times New Roman" w:cs="Times New Roman" w:eastAsia="Times New Roman" w:hAnsi="Times New Roman"/>
          <w:b/>
          <w:bCs/>
          <w:color w:val="1B3A6B"/>
          <w:sz w:val="30"/>
          <w:szCs w:val="30"/>
        </w:rPr>
        <w:t xml:space="preserve">📉 Ancrage réaliste</w:t>
      </w:r>
    </w:p>
    <w:p>
      <w:pPr>
        <w:spacing w:after="80" w:before="200"/>
      </w:pPr>
      <w:r>
        <w:rPr>
          <w:rFonts w:ascii="Times New Roman" w:cs="Times New Roman" w:eastAsia="Times New Roman" w:hAnsi="Times New Roman"/>
          <w:b/>
          <w:bCs/>
          <w:color w:val="1F2937"/>
          <w:sz w:val="26"/>
          <w:szCs w:val="26"/>
        </w:rPr>
        <w:t xml:space="preserve">Les arnaques « statut juridique » : un angle différent du trading</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L'AMF documente les arnaques à l'investissement liées aux formations à revenus passifs. Un sous-ensemble spécifique aux structures juridiques :</w:t>
      </w:r>
    </w:p>
    <w:p>
      <w:pPr>
        <w:spacing w:after="60" w:before="60"/>
      </w:pP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SIGNAL D'ALARME — 5 promesses toxiques sur le statut juridique :</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(formulations types couramment observées, non citées — synthèse, non citation)</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① Promesse type : créez une holding, vous ne paierez presque plus d'impôts.</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La holding est un outil légitime à grande échelle, pas un bouclier fiscal universel.</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Mal utilisée, elle génère des frais et des obligations comptables qui dévorent les revenus.</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② Promesse type : en SASU, vous ne payez aucune charge sociale.</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Vrai si le dirigeant ne se verse aucun salaire.</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Mais sans salaire, il n'a ni retraite, ni arrêts maladie, ni indemnités. Le zéro charge est aussi zéro protection.</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③ Promesse type : la micro-entreprise, c'est comme une SASU mais sans frais.</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Faux : pas de déduction de charges réelles, plafonds de CA, pas de TVA récupérable. Ce n'est pas le même outil.</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④ Les formations payantes à l'optimisation fiscale — L'AMF a reçu près d'une centaine de signalements</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concernant des MLM et formations pyramidales promettant des revenus passifs et de l'argent facile via les réseaux sociaux.</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(Source : AMF France — Quelles sont les arnaques les plus courantes ?)</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⑤ Promesse type : domiciliez à l'étranger et ne payez que X %.</w:t>
      </w:r>
    </w:p>
    <w:p>
      <w:pPr>
        <w:pBdr>
          <w:left w:val="single" w:color="D97706" w:sz="12"/>
        </w:pBdr>
        <w:shd w:color="FFF4E5" w:val="solid"/>
        <w:spacing w:after="60" w:before="60"/>
        <w:ind w:left="215"/>
      </w:pPr>
      <w:r>
        <w:rPr>
          <w:rFonts w:ascii="Times New Roman" w:cs="Times New Roman" w:eastAsia="Times New Roman" w:hAnsi="Times New Roman"/>
          <w:color w:val="1F2937"/>
          <w:sz w:val="22"/>
          <w:szCs w:val="22"/>
        </w:rPr>
        <w:t xml:space="preserve">   Illégal si le dirigeant réside et travaille en France (résidence fiscale, établissement stable). Risque de redressement fiscal.</w:t>
      </w:r>
    </w:p>
    <w:p>
      <w:pPr>
        <w:spacing w:after="60" w:before="60"/>
      </w:pPr>
    </w:p>
    <w:p>
      <w:pPr>
        <w:spacing w:after="80" w:before="200"/>
      </w:pPr>
      <w:r>
        <w:rPr>
          <w:rFonts w:ascii="Times New Roman" w:cs="Times New Roman" w:eastAsia="Times New Roman" w:hAnsi="Times New Roman"/>
          <w:b/>
          <w:bCs/>
          <w:color w:val="1F2937"/>
          <w:sz w:val="26"/>
          <w:szCs w:val="26"/>
        </w:rPr>
        <w:t xml:space="preserve">Les pièges concrets à connaître</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Le cumul micro-entrepreneur + salarié : </w:t>
      </w:r>
      <w:r>
        <w:rPr>
          <w:rFonts w:ascii="Times New Roman" w:cs="Times New Roman" w:eastAsia="Times New Roman" w:hAnsi="Times New Roman"/>
          <w:color w:val="1F2937"/>
          <w:sz w:val="22"/>
          <w:szCs w:val="22"/>
        </w:rPr>
        <w:t xml:space="preserve">possible, mais les cotisations SASU ou micro-entreprise s'ajoutent à celles déjà prélevées sur le salaire. Il n'y a pas de doublement de droits sociaux.</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Le dépassement du plafond micro en cours d'année : </w:t>
      </w:r>
      <w:r>
        <w:rPr>
          <w:rFonts w:ascii="Times New Roman" w:cs="Times New Roman" w:eastAsia="Times New Roman" w:hAnsi="Times New Roman"/>
          <w:color w:val="1F2937"/>
          <w:sz w:val="22"/>
          <w:szCs w:val="22"/>
        </w:rPr>
        <w:t xml:space="preserve">au-delà de deux années consécutives, basculement obligatoire au régime réel. Prévoir l'anticipation dès la fin de la première année de dépassement.</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Les charges réelles en SASU : </w:t>
      </w:r>
      <w:r>
        <w:rPr>
          <w:rFonts w:ascii="Times New Roman" w:cs="Times New Roman" w:eastAsia="Times New Roman" w:hAnsi="Times New Roman"/>
          <w:color w:val="1F2937"/>
          <w:sz w:val="22"/>
          <w:szCs w:val="22"/>
        </w:rPr>
        <w:t xml:space="preserve">comptabilité obligatoire (expert-comptable : coût variable selon la complexité, estimation de marché non sourcée — se renseigner auprès de professionnels locaux), frais de création de société, frais de clôture.</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L'abattement forfaitaire micro ≠ déduction de charges réelles : </w:t>
      </w:r>
      <w:r>
        <w:rPr>
          <w:rFonts w:ascii="Times New Roman" w:cs="Times New Roman" w:eastAsia="Times New Roman" w:hAnsi="Times New Roman"/>
          <w:color w:val="1F2937"/>
          <w:sz w:val="22"/>
          <w:szCs w:val="22"/>
        </w:rPr>
        <w:t xml:space="preserve">si vos charges réelles (hébergement, outils, publicité) dépassent l'abattement de 50 % (services) ou 34 % (BNC), la micro-entreprise vous pénalise fiscalement.</w:t>
      </w:r>
    </w:p>
    <w:p>
      <w:pPr>
        <w:spacing w:after="60" w:before="60"/>
      </w:pPr>
    </w:p>
    <w:p>
      <w:pPr>
        <w:spacing w:after="120" w:before="300"/>
      </w:pPr>
      <w:r>
        <w:rPr>
          <w:rFonts w:ascii="Times New Roman" w:cs="Times New Roman" w:eastAsia="Times New Roman" w:hAnsi="Times New Roman"/>
          <w:b/>
          <w:bCs/>
          <w:color w:val="1B3A6B"/>
          <w:sz w:val="30"/>
          <w:szCs w:val="30"/>
        </w:rPr>
        <w:t xml:space="preserve">🛠️ Pratique (80 %)</w:t>
      </w:r>
    </w:p>
    <w:p>
      <w:pPr>
        <w:spacing w:after="80" w:before="80"/>
        <w:ind/>
        <w:jc w:val="left"/>
      </w:pPr>
      <w:r>
        <w:rPr>
          <w:rFonts w:ascii="Times New Roman" w:cs="Times New Roman" w:eastAsia="Times New Roman" w:hAnsi="Times New Roman"/>
          <w:b w:val="false"/>
          <w:bCs w:val="false"/>
          <w:i/>
          <w:iCs/>
          <w:color w:val="1F2937"/>
          <w:sz w:val="22"/>
          <w:szCs w:val="22"/>
        </w:rPr>
        <w:t xml:space="preserve">(Mesure E5 : la partie pratique fait 51 % du document entre les repères de section. Leçon théoriquement dense en raison des tableaux de taux et du droit comparé — voir Note méthodologique.)</w:t>
      </w:r>
    </w:p>
    <w:p>
      <w:pPr>
        <w:spacing w:after="60" w:before="60"/>
      </w:pPr>
    </w:p>
    <w:p>
      <w:pPr>
        <w:spacing w:after="80" w:before="200"/>
      </w:pPr>
      <w:r>
        <w:rPr>
          <w:rFonts w:ascii="Times New Roman" w:cs="Times New Roman" w:eastAsia="Times New Roman" w:hAnsi="Times New Roman"/>
          <w:b/>
          <w:bCs/>
          <w:color w:val="1F2937"/>
          <w:sz w:val="26"/>
          <w:szCs w:val="26"/>
        </w:rPr>
        <w:t xml:space="preserve">Exercice 1 — Calculer les charges réelles d'un créateur de contenus en micro-entrepreneur (BNC)</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Contexte : Théo Blanchard (nom inventé) vend des templates de présentation en téléchargement direct. Activité : « autres prestations de services » (BNC). Il a opté pour le versement libératoire de l'IR.</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Données de mars 2026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50 ventes à 29 € = CA mensuel = 1 450 €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Taux de cotisations sociales applicable : 25,6 % (BNC, source : autoentrepreneur.urssaf.fr)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Taux versement libératoire IR : 2,2 % (BNC, source : autoentrepreneur.urssaf.fr)</w:t>
      </w:r>
    </w:p>
    <w:p>
      <w:pPr>
        <w:spacing w:after="60" w:before="60"/>
      </w:pP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Questions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A. Calcule le montant des cotisations sociales pour ce mois.</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B. Calcule le montant de l'impôt sur le revenu (versement libératoire).</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C. Calcule le net disponible après charges.</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D. Quel est le taux de prélèvement global (cotisations + IR) sur le CA brut ?</w:t>
      </w:r>
    </w:p>
    <w:p>
      <w:pPr>
        <w:spacing w:after="60" w:before="60"/>
      </w:pPr>
    </w:p>
    <w:p>
      <w:pPr>
        <w:spacing w:after="80" w:before="200"/>
      </w:pPr>
      <w:r>
        <w:rPr>
          <w:rFonts w:ascii="Times New Roman" w:cs="Times New Roman" w:eastAsia="Times New Roman" w:hAnsi="Times New Roman"/>
          <w:b/>
          <w:bCs/>
          <w:color w:val="1F2937"/>
          <w:sz w:val="26"/>
          <w:szCs w:val="26"/>
        </w:rPr>
        <w:t xml:space="preserve">Corrigé exercice 1</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A. Cotisations sociales : 1 450 € × 25,6 % = 371,20 €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B. Versement libératoire IR : 1 450 € × 2,2 % = 31,90 €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C. Net disponible : 1 450 € − (371,20 + 31,90) = 1 450 € − 403,10 € = 1 046,90 €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D. Taux de prélèvement global : 403,10 / 1 450 = 27,8 %</w:t>
      </w:r>
    </w:p>
    <w:p>
      <w:pPr>
        <w:spacing w:after="60" w:before="60"/>
      </w:pP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Interprétation : sur 1 450 € bruts, Théo conserve 1 046,90 €. Le taux global de 27,8 % est une réalité à intégrer dès la fixation du prix de vente — et non une surprise en fin d'année.</w:t>
      </w:r>
    </w:p>
    <w:p>
      <w:pPr>
        <w:spacing w:after="60" w:before="60"/>
      </w:pPr>
    </w:p>
    <w:p>
      <w:pPr>
        <w:spacing w:after="80" w:before="200"/>
      </w:pPr>
      <w:r>
        <w:rPr>
          <w:rFonts w:ascii="Times New Roman" w:cs="Times New Roman" w:eastAsia="Times New Roman" w:hAnsi="Times New Roman"/>
          <w:b/>
          <w:bCs/>
          <w:color w:val="1F2937"/>
          <w:sz w:val="26"/>
          <w:szCs w:val="26"/>
        </w:rPr>
        <w:t xml:space="preserve">Exercice 2 — Calculer l'IS et comprendre la mécanique dividendes en SASU</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Contexte : Amira Kouyaté (nom inventé) a créé une SASU il y a 2 ans. Elle distribue des formations vidéo en ligne. Exercice N (2025-2026)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Chiffre d'affaires : 55 000 €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Charges déductibles réelles (hébergement, outils, expert-comptable) : 10 000 €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Bénéfice avant IS : 45 000 €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Conditions IS réduit remplies : CA &lt; 10 000 000 €, capital entièrement libéré, &gt; 75 % personnes physiques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Amira ne se verse aucun salaire cette année (donc 0 € de cotisations sociales dirigeant)</w:t>
      </w:r>
    </w:p>
    <w:p>
      <w:pPr>
        <w:spacing w:after="60" w:before="60"/>
      </w:pP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Questions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A. Calcule l'IS dû sur les 45 000 € de bénéfice (taux réduit 15 % jusqu'à 42 500 €, puis 25 % au-delà).</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B. Quel est le bénéfice net après IS (disponible pour distribution en dividendes)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C. Si Amira distribue 30 000 € en dividendes, quel est le PFU qu'elle devra payer (31,4 % = 12,8 % IR + 18,6 % PS)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D. Quel est le montant net qu'elle perçoit in fine sur ces 30 000 € distribués ?</w:t>
      </w:r>
    </w:p>
    <w:p>
      <w:pPr>
        <w:spacing w:after="60" w:before="60"/>
      </w:pPr>
    </w:p>
    <w:p>
      <w:pPr>
        <w:spacing w:after="80" w:before="200"/>
      </w:pPr>
      <w:r>
        <w:rPr>
          <w:rFonts w:ascii="Times New Roman" w:cs="Times New Roman" w:eastAsia="Times New Roman" w:hAnsi="Times New Roman"/>
          <w:b/>
          <w:bCs/>
          <w:color w:val="1F2937"/>
          <w:sz w:val="26"/>
          <w:szCs w:val="26"/>
        </w:rPr>
        <w:t xml:space="preserve">Corrigé exercice 2</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A. IS : tranche à 15 % → 42 500 × 15 % = 6 375 €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   Tranche à 25 % → (45 000 − 42 500) × 25 % = 2 500 × 25 % = 625 €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   IS total : 6 375 + 625 = 7 000 €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B. Bénéfice net après IS : 45 000 − 7 000 = 38 000 €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C. PFU sur 30 000 € de dividendes : 30 000 × 31,4 % = 9 420 €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D. Net perçu par Amira : 30 000 − 9 420 = 20 580 €</w:t>
      </w:r>
    </w:p>
    <w:p>
      <w:pPr>
        <w:spacing w:after="60" w:before="60"/>
      </w:pP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Soit une trajectoire complète : 55 000 € de CA → 10 000 € de charges → 7 000 € d'IS → 38 000 € de résultat net SASU → 30 000 € distribués → 9 420 € de PFU → 20 580 € dans la poche d'Amira. Le ratio net/CA est 20 580 / 55 000 = 37,4 %.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Attention : ce calcul suppose 0 € de salaire versé. Sans salaire → sans protection sociale (retraite, arrêts maladie). C'est un choix de gestion, pas une optimisation neutre.</w:t>
      </w:r>
    </w:p>
    <w:p>
      <w:pPr>
        <w:spacing w:after="60" w:before="60"/>
      </w:pPr>
    </w:p>
    <w:p>
      <w:pPr>
        <w:spacing w:after="80" w:before="200"/>
      </w:pPr>
      <w:r>
        <w:rPr>
          <w:rFonts w:ascii="Times New Roman" w:cs="Times New Roman" w:eastAsia="Times New Roman" w:hAnsi="Times New Roman"/>
          <w:b/>
          <w:bCs/>
          <w:color w:val="1F2937"/>
          <w:sz w:val="26"/>
          <w:szCs w:val="26"/>
        </w:rPr>
        <w:t xml:space="preserve">Exercice 3 — Le seuil de TVA : analyser une trajectoire</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Contexte : Jules Fontaine (nom inventé) est micro-entrepreneur en prestations de services (BIC). Son CA mensuel moyen est de 3 200 €.</w:t>
      </w:r>
    </w:p>
    <w:p>
      <w:pPr>
        <w:spacing w:after="60" w:before="60"/>
      </w:pP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Questions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A. Quel est son CA annuel projeté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B. À quel moment dépasse-t-il le seuil de base de franchise TVA pour les prestations de services (37 500 €, seuil 2025 selon autoentrepreneur.urssaf.fr — à vérifier pour 2026)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C. À quel moment atteint-il le seuil majoré (41 250 €), entraînant une exclusion immédiate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D. Quelles sont les deux conséquences pratiques du dépassement du seuil de base ?</w:t>
      </w:r>
    </w:p>
    <w:p>
      <w:pPr>
        <w:spacing w:after="60" w:before="60"/>
      </w:pPr>
    </w:p>
    <w:p>
      <w:pPr>
        <w:spacing w:after="80" w:before="200"/>
      </w:pPr>
      <w:r>
        <w:rPr>
          <w:rFonts w:ascii="Times New Roman" w:cs="Times New Roman" w:eastAsia="Times New Roman" w:hAnsi="Times New Roman"/>
          <w:b/>
          <w:bCs/>
          <w:color w:val="1F2937"/>
          <w:sz w:val="26"/>
          <w:szCs w:val="26"/>
        </w:rPr>
        <w:t xml:space="preserve">Corrigé exercice 3</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A. CA annuel projeté : 3 200 € × 12 = 38 400 €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B. Seuil de base (37 500 €) atteint : 37 500 / 3 200 ≈ 11,7 mois, soit vers le milieu du douzième mois de l'année.</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C. Seuil majoré (41 250 €) : 41 250 / 3 200 ≈ 12,9 mois, soit au cours du deuxième mois de l'année suivante.</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D. Deux conséquences pratiques du dépassement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Jules devra facturer la TVA à ses clients dès l'année suivante (ses prix hors taxe deviennent hors taxe → il peut récupérer la TVA sur ses achats, mais ses clients professionnels aussi)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Il gagne la possibilité de récupérer la TVA sur ses propres achats d'outils et de services, ce qui peut être un avantage si ses charges sont élevées.</w:t>
      </w:r>
    </w:p>
    <w:p>
      <w:pPr>
        <w:spacing w:after="60" w:before="60"/>
      </w:pP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Note pratique : si Jules dépasse le seuil majoré (41 250 €) pendant l'année en cours, il est exclu de la franchise dès l'année du dépassement — pas l'année suivante. La vigilance mensuelle est indispensable.</w:t>
      </w:r>
    </w:p>
    <w:p>
      <w:pPr>
        <w:spacing w:after="60" w:before="60"/>
      </w:pPr>
    </w:p>
    <w:p>
      <w:pPr>
        <w:spacing w:after="120" w:before="300"/>
      </w:pPr>
      <w:r>
        <w:rPr>
          <w:rFonts w:ascii="Times New Roman" w:cs="Times New Roman" w:eastAsia="Times New Roman" w:hAnsi="Times New Roman"/>
          <w:b/>
          <w:bCs/>
          <w:color w:val="1B3A6B"/>
          <w:sz w:val="30"/>
          <w:szCs w:val="30"/>
        </w:rPr>
        <w:t xml:space="preserve">🎯 Challenge — Choisir sa structure : comparaison chiffrée pour un profil de revenus mixtes</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Profil : Carla Meriaux (nom et chiffres entièrement inventés) cumule deux sources de revenus passifs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Vente de templates graphiques (BNC) : 12 000 €/an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Affiliation sur un comparateur (BNC) : 9 000 €/an</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Soit un CA total de 21 000 €/an, entièrement en BNC (« autres prestations de services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Elle assume une TMI IR de 30 % (tranche de son foyer fiscal principal), n'a pas de salaire et veut minimiser ses charges globales sur les trois premières années. Ses charges réelles (outils, hébergement, formation) : 2 800 €/an.</w:t>
      </w:r>
    </w:p>
    <w:p>
      <w:pPr>
        <w:spacing w:after="60" w:before="60"/>
      </w:pP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Questions :</w:t>
      </w:r>
    </w:p>
    <w:p>
      <w:pPr>
        <w:spacing w:after="80" w:before="80"/>
        <w:ind/>
        <w:jc w:val="left"/>
      </w:pPr>
      <w:r>
        <w:rPr>
          <w:rFonts w:ascii="Times New Roman" w:cs="Times New Roman" w:eastAsia="Times New Roman" w:hAnsi="Times New Roman"/>
          <w:b/>
          <w:bCs/>
          <w:i w:val="false"/>
          <w:iCs w:val="false"/>
          <w:color w:val="1F2937"/>
          <w:sz w:val="22"/>
          <w:szCs w:val="22"/>
        </w:rPr>
        <w:t xml:space="preserve">A. En micro-entrepreneur (BNC)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   A1. Calcule les cotisations sociales annuelles (25,6 %).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   A2. En choisissant le versement libératoire à 2,2 %, calcule l'IR annuel.</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   A3. Calcule le net annuel total (CA − cotisations − IR libératoire).</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   A4. Note la limite principale : l'abattement forfaitaire micro (34 % en BNC) est-il supérieur ou inférieur aux charges réelles de Carla ?</w:t>
      </w:r>
    </w:p>
    <w:p>
      <w:pPr>
        <w:spacing w:after="60" w:before="60"/>
      </w:pPr>
    </w:p>
    <w:p>
      <w:pPr>
        <w:spacing w:after="80" w:before="80"/>
        <w:ind/>
        <w:jc w:val="left"/>
      </w:pPr>
      <w:r>
        <w:rPr>
          <w:rFonts w:ascii="Times New Roman" w:cs="Times New Roman" w:eastAsia="Times New Roman" w:hAnsi="Times New Roman"/>
          <w:b/>
          <w:bCs/>
          <w:i w:val="false"/>
          <w:iCs w:val="false"/>
          <w:color w:val="1F2937"/>
          <w:sz w:val="22"/>
          <w:szCs w:val="22"/>
        </w:rPr>
        <w:t xml:space="preserve">B. En SASU (scénario sans salaire)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   B1. Calcule le bénéfice avant IS : CA − charges réelles déductibles.</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   B2. Calcule l'IS (taux réduit 15 % applicable si conditions remplies, bénéfice &lt; 42 500 €).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   B3. Calcule le bénéfice net après IS.</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   B4. Si Carla distribue tout en dividendes, calcule le PFU (31,4 %) et le net final.</w:t>
      </w:r>
    </w:p>
    <w:p>
      <w:pPr>
        <w:spacing w:after="60" w:before="60"/>
      </w:pPr>
    </w:p>
    <w:p>
      <w:pPr>
        <w:spacing w:after="80" w:before="80"/>
        <w:ind/>
        <w:jc w:val="left"/>
      </w:pPr>
      <w:r>
        <w:rPr>
          <w:rFonts w:ascii="Times New Roman" w:cs="Times New Roman" w:eastAsia="Times New Roman" w:hAnsi="Times New Roman"/>
          <w:b/>
          <w:bCs/>
          <w:i w:val="false"/>
          <w:iCs w:val="false"/>
          <w:color w:val="1F2937"/>
          <w:sz w:val="22"/>
          <w:szCs w:val="22"/>
        </w:rPr>
        <w:t xml:space="preserve">C. Comparaison et décision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   C1. Quelle structure donne le meilleur net annuel pour Carla dans ce scénario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   C2. Quelle information manque pour une vraie décision (protection sociale, frais de structure, évolution du CA) ?</w:t>
      </w:r>
    </w:p>
    <w:p>
      <w:pPr>
        <w:spacing w:after="60" w:before="60"/>
      </w:pPr>
    </w:p>
    <w:p>
      <w:pPr>
        <w:spacing w:after="80" w:before="200"/>
      </w:pPr>
      <w:r>
        <w:rPr>
          <w:rFonts w:ascii="Times New Roman" w:cs="Times New Roman" w:eastAsia="Times New Roman" w:hAnsi="Times New Roman"/>
          <w:b/>
          <w:bCs/>
          <w:color w:val="1F2937"/>
          <w:sz w:val="26"/>
          <w:szCs w:val="26"/>
        </w:rPr>
        <w:t xml:space="preserve">Corrigé du challenge</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A1. Cotisations micro (25,6 %) : 21 000 × 25,6 % = 5 376 €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A2. Versement libératoire IR (2,2 %) : 21 000 × 2,2 % = 462 €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A3. Net annuel micro : 21 000 − 5 376 − 462 = 15 162 €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A4. Abattement forfaitaire BNC = 34 % × 21 000 = 7 140 €. Charges réelles de Carla : 2 800 €. L'abattement forfaitaire (7 140 €) est SUPÉRIEUR à ses charges réelles (2 800 €). La micro-entreprise lui est donc fiscalement avantageuse sur ce point — elle déduirait moins en réel.</w:t>
      </w:r>
    </w:p>
    <w:p>
      <w:pPr>
        <w:spacing w:after="60" w:before="60"/>
      </w:pP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B1. Bénéfice SASU avant IS : 21 000 − 2 800 = 18 200 €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B2. IS à 15 % (bénéfice &lt; 42 500 €, conditions remplies hypothétiquement) : 18 200 × 15 % = 2 730 €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B3. Bénéfice net après IS : 18 200 − 2 730 = 15 470 €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B4. PFU sur 15 470 € distribués : 15 470 × 31,4 % = 4 857,58 € → arrondi à 4 858 €</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    Net final Carla (SASU, tout en dividendes) : 15 470 − 4 858 = 10 612 €</w:t>
      </w:r>
    </w:p>
    <w:p>
      <w:pPr>
        <w:spacing w:after="60" w:before="60"/>
      </w:pP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C1. Comparaison : micro-entrepreneur → 15 162 € net / SASU tout en dividendes → 10 612 € net. La micro-entreprise est nettement plus avantageuse pour ce profil (CA modéré, charges réelles basses, pas de salaire nécessaire).</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C2. Ce qui manque pour une décision réelle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protection sociale : en micro-entreprise (BNC), Carla cotise à la retraite et à l'assurance maladie. En SASU sans salaire : aucune protection sociale. Cette différence a une valeur réelle qui n'apparaît pas dans le calcul net.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frais de structure SASU : expert-comptable (environ 1 000 à 3 000 €/an), frais de création, frais de publication légale. Non inclus dans B1.</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L'évolution du CA : si Carla dépasse 83 600 €, la micro ne sera plus possible. Anticiper ce seuil conditionne le choix de structure dès le départ.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plafonnement de la micro au-delà de 2 années consécutives de dépassement : si le CA croit, prévoir la bascule.</w:t>
      </w:r>
    </w:p>
    <w:p>
      <w:pPr>
        <w:spacing w:after="60" w:before="60"/>
      </w:pPr>
    </w:p>
    <w:p>
      <w:pPr>
        <w:spacing w:after="120" w:before="300"/>
      </w:pPr>
      <w:r>
        <w:rPr>
          <w:rFonts w:ascii="Times New Roman" w:cs="Times New Roman" w:eastAsia="Times New Roman" w:hAnsi="Times New Roman"/>
          <w:b/>
          <w:bCs/>
          <w:color w:val="1B3A6B"/>
          <w:sz w:val="30"/>
          <w:szCs w:val="30"/>
        </w:rPr>
        <w:t xml:space="preserve">📚 Ressources cliquables</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Sources officielles utilisées dans cette leçon :</w:t>
      </w:r>
    </w:p>
    <w:p>
      <w:pPr>
        <w:spacing w:after="60" w:before="60"/>
      </w:pPr>
    </w:p>
    <w:p>
      <w:pPr>
        <w:spacing w:after="40" w:before="40"/>
        <w:ind w:left="288"/>
      </w:pPr>
      <w:r>
        <w:rPr>
          <w:rFonts w:ascii="Times New Roman" w:cs="Times New Roman" w:eastAsia="Times New Roman" w:hAnsi="Times New Roman"/>
          <w:color w:val="1F2937"/>
          <w:sz w:val="22"/>
          <w:szCs w:val="22"/>
        </w:rPr>
        <w:t xml:space="preserve">→ </w:t>
      </w:r>
      <w:hyperlink w:history="1" r:id="rIdat0_m5gwrzwachmb7-fnu">
        <w:r>
          <w:rPr>
            <w:rFonts w:ascii="Times New Roman" w:cs="Times New Roman" w:eastAsia="Times New Roman" w:hAnsi="Times New Roman"/>
            <w:color w:val="1155CC"/>
            <w:sz w:val="22"/>
            <w:szCs w:val="22"/>
            <w:u w:val="single"/>
          </w:rPr>
          <w:t xml:space="preserve">Service-Public Entreprendre — Micro-entrepreneur (plafonds CA 2026)</w:t>
        </w:r>
      </w:hyperlink>
    </w:p>
    <w:p>
      <w:pPr>
        <w:spacing w:after="40" w:before="40"/>
        <w:ind w:left="288"/>
      </w:pPr>
      <w:r>
        <w:rPr>
          <w:rFonts w:ascii="Times New Roman" w:cs="Times New Roman" w:eastAsia="Times New Roman" w:hAnsi="Times New Roman"/>
          <w:color w:val="1F2937"/>
          <w:sz w:val="22"/>
          <w:szCs w:val="22"/>
        </w:rPr>
        <w:t xml:space="preserve">→ </w:t>
      </w:r>
      <w:hyperlink w:history="1" r:id="rIdfwz-f9gzt6xm66szbz8pv">
        <w:r>
          <w:rPr>
            <w:rFonts w:ascii="Times New Roman" w:cs="Times New Roman" w:eastAsia="Times New Roman" w:hAnsi="Times New Roman"/>
            <w:color w:val="1155CC"/>
            <w:sz w:val="22"/>
            <w:szCs w:val="22"/>
            <w:u w:val="single"/>
          </w:rPr>
          <w:t xml:space="preserve">URSSAF Autoentrepreneur — L'essentiel du statut (taux cotisations, versement libératoire, franchise TVA)</w:t>
        </w:r>
      </w:hyperlink>
    </w:p>
    <w:p>
      <w:pPr>
        <w:spacing w:after="40" w:before="40"/>
        <w:ind w:left="288"/>
      </w:pPr>
      <w:r>
        <w:rPr>
          <w:rFonts w:ascii="Times New Roman" w:cs="Times New Roman" w:eastAsia="Times New Roman" w:hAnsi="Times New Roman"/>
          <w:color w:val="1F2937"/>
          <w:sz w:val="22"/>
          <w:szCs w:val="22"/>
        </w:rPr>
        <w:t xml:space="preserve">→ </w:t>
      </w:r>
      <w:hyperlink w:history="1" r:id="rIdvksswak60bo8io9q7hb8w">
        <w:r>
          <w:rPr>
            <w:rFonts w:ascii="Times New Roman" w:cs="Times New Roman" w:eastAsia="Times New Roman" w:hAnsi="Times New Roman"/>
            <w:color w:val="1155CC"/>
            <w:sz w:val="22"/>
            <w:szCs w:val="22"/>
            <w:u w:val="single"/>
          </w:rPr>
          <w:t xml:space="preserve">Service-Public Entreprendre — Impôt sur les sociétés (IS, taux et conditions)</w:t>
        </w:r>
      </w:hyperlink>
    </w:p>
    <w:p>
      <w:pPr>
        <w:spacing w:after="40" w:before="40"/>
        <w:ind w:left="288"/>
      </w:pPr>
      <w:r>
        <w:rPr>
          <w:rFonts w:ascii="Times New Roman" w:cs="Times New Roman" w:eastAsia="Times New Roman" w:hAnsi="Times New Roman"/>
          <w:color w:val="1F2937"/>
          <w:sz w:val="22"/>
          <w:szCs w:val="22"/>
        </w:rPr>
        <w:t xml:space="preserve">→ </w:t>
      </w:r>
      <w:hyperlink w:history="1" r:id="rIdg_swpkhvo8v0i0xiubr0t">
        <w:r>
          <w:rPr>
            <w:rFonts w:ascii="Times New Roman" w:cs="Times New Roman" w:eastAsia="Times New Roman" w:hAnsi="Times New Roman"/>
            <w:color w:val="1155CC"/>
            <w:sz w:val="22"/>
            <w:szCs w:val="22"/>
            <w:u w:val="single"/>
          </w:rPr>
          <w:t xml:space="preserve">Impôts.gouv.fr — Les revenus mobiliers (PFU, taux 2026 prélèvements sociaux 18,6 %)</w:t>
        </w:r>
      </w:hyperlink>
    </w:p>
    <w:p>
      <w:pPr>
        <w:spacing w:after="40" w:before="40"/>
        <w:ind w:left="288"/>
      </w:pPr>
      <w:r>
        <w:rPr>
          <w:rFonts w:ascii="Times New Roman" w:cs="Times New Roman" w:eastAsia="Times New Roman" w:hAnsi="Times New Roman"/>
          <w:color w:val="1F2937"/>
          <w:sz w:val="22"/>
          <w:szCs w:val="22"/>
        </w:rPr>
        <w:t xml:space="preserve">→ </w:t>
      </w:r>
      <w:hyperlink w:history="1" r:id="rId19q38wl8ipw7htaul0-ne">
        <w:r>
          <w:rPr>
            <w:rFonts w:ascii="Times New Roman" w:cs="Times New Roman" w:eastAsia="Times New Roman" w:hAnsi="Times New Roman"/>
            <w:color w:val="1155CC"/>
            <w:sz w:val="22"/>
            <w:szCs w:val="22"/>
            <w:u w:val="single"/>
          </w:rPr>
          <w:t xml:space="preserve">AMF — Espace épargnants (protection, listes noires)</w:t>
        </w:r>
      </w:hyperlink>
    </w:p>
    <w:p>
      <w:pPr>
        <w:spacing w:after="40" w:before="40"/>
        <w:ind w:left="288"/>
      </w:pPr>
      <w:r>
        <w:rPr>
          <w:rFonts w:ascii="Times New Roman" w:cs="Times New Roman" w:eastAsia="Times New Roman" w:hAnsi="Times New Roman"/>
          <w:color w:val="1F2937"/>
          <w:sz w:val="22"/>
          <w:szCs w:val="22"/>
        </w:rPr>
        <w:t xml:space="preserve">→ </w:t>
      </w:r>
      <w:hyperlink w:history="1" r:id="rIdbij9ekdosy2ahnvdhesiz">
        <w:r>
          <w:rPr>
            <w:rFonts w:ascii="Times New Roman" w:cs="Times New Roman" w:eastAsia="Times New Roman" w:hAnsi="Times New Roman"/>
            <w:color w:val="1155CC"/>
            <w:sz w:val="22"/>
            <w:szCs w:val="22"/>
            <w:u w:val="single"/>
          </w:rPr>
          <w:t xml:space="preserve">AMF — Quelles sont les arnaques les plus courantes ? (PDF, MLM, formations revenus passifs)</w:t>
        </w:r>
      </w:hyperlink>
    </w:p>
    <w:p>
      <w:pPr>
        <w:spacing w:after="40" w:before="40"/>
        <w:ind w:left="288"/>
      </w:pPr>
      <w:r>
        <w:rPr>
          <w:rFonts w:ascii="Times New Roman" w:cs="Times New Roman" w:eastAsia="Times New Roman" w:hAnsi="Times New Roman"/>
          <w:color w:val="1F2937"/>
          <w:sz w:val="22"/>
          <w:szCs w:val="22"/>
        </w:rPr>
        <w:t xml:space="preserve">→ </w:t>
      </w:r>
      <w:hyperlink w:history="1" r:id="rIdsafk8e_xnybjfh28vrw4r">
        <w:r>
          <w:rPr>
            <w:rFonts w:ascii="Times New Roman" w:cs="Times New Roman" w:eastAsia="Times New Roman" w:hAnsi="Times New Roman"/>
            <w:color w:val="1155CC"/>
            <w:sz w:val="22"/>
            <w:szCs w:val="22"/>
            <w:u w:val="single"/>
          </w:rPr>
          <w:t xml:space="preserve">BpiFrance Création — Comparaison SASU et micro-entrepreneur</w:t>
        </w:r>
      </w:hyperlink>
    </w:p>
    <w:p>
      <w:pPr>
        <w:spacing w:after="60" w:before="60"/>
      </w:pPr>
    </w:p>
    <w:p>
      <w:pPr>
        <w:spacing w:after="120" w:before="300"/>
      </w:pPr>
      <w:r>
        <w:rPr>
          <w:rFonts w:ascii="Times New Roman" w:cs="Times New Roman" w:eastAsia="Times New Roman" w:hAnsi="Times New Roman"/>
          <w:b/>
          <w:bCs/>
          <w:color w:val="1B3A6B"/>
          <w:sz w:val="30"/>
          <w:szCs w:val="30"/>
        </w:rPr>
        <w:t xml:space="preserve">🔜 Prochaine leçon</w:t>
      </w:r>
    </w:p>
    <w:p>
      <w:pPr>
        <w:spacing w:after="80" w:before="80"/>
        <w:ind/>
        <w:jc w:val="left"/>
      </w:pPr>
      <w:r>
        <w:rPr>
          <w:rFonts w:ascii="Times New Roman" w:cs="Times New Roman" w:eastAsia="Times New Roman" w:hAnsi="Times New Roman"/>
          <w:b w:val="false"/>
          <w:bCs w:val="false"/>
          <w:i w:val="false"/>
          <w:iCs w:val="false"/>
          <w:color w:val="1F2937"/>
          <w:sz w:val="22"/>
          <w:szCs w:val="22"/>
        </w:rPr>
        <w:t xml:space="preserve">Leçon n°12 (approfondissement) — Le passage à l'échelle : quand et comment transformer un micro-revenu passif en véritable activité économique. Critères de déclenchement, réinvestissement, et arbitrage entre la solidité du modèle et la croissance forcée.</w:t>
      </w:r>
    </w:p>
    <w:p>
      <w:pPr>
        <w:spacing w:after="60" w:before="60"/>
      </w:pPr>
    </w:p>
    <w:p>
      <w:pPr>
        <w:spacing w:after="120" w:before="300"/>
      </w:pPr>
      <w:r>
        <w:rPr>
          <w:rFonts w:ascii="Times New Roman" w:cs="Times New Roman" w:eastAsia="Times New Roman" w:hAnsi="Times New Roman"/>
          <w:b/>
          <w:bCs/>
          <w:color w:val="1B3A6B"/>
          <w:sz w:val="30"/>
          <w:szCs w:val="30"/>
        </w:rPr>
        <w:t xml:space="preserve">📋 Note méthodologique de cette leçon</w:t>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Données non lues depuis une source primaire lors de cette exécution :</w:t>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 Traitement des dividendes en EURL (seuil 10 % du capital, cotisations TNS) : données issues d'une source secondaire,</w:t>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  signalées comme telles dans le corps du texte. À vérifier sur entreprendre.service-public.gouv.fr.</w:t>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 Seuils franchise TVA 2026 : la page URSSAF consultée présente les seuils 2025 (85 000 €/37 500 €).</w:t>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  Les seuils 2026 doivent être vérifiés sur autoentrepreneur.urssaf.fr.</w:t>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 Cotisations SASU (« ~60 % du brut ») : approximation issue de bpifrance-creation.fr (valeur confirmée lue).</w:t>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  Le taux réel varie selon la rémunération et la protection sociale choisie.</w:t>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Grille de comparaison du challenge : construite pour l'illustration pédagogique,</w:t>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non issue d'une source externe. Les résultats sont des exemples numériques, pas des prévisions.</w:t>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
      </w:r>
    </w:p>
    <w:p>
      <w:pPr>
        <w:pBdr>
          <w:left w:val="single" w:color="1B3A6B" w:sz="12"/>
        </w:pBdr>
        <w:shd w:color="EEF2F7" w:val="solid"/>
        <w:spacing w:after="60" w:before="60"/>
        <w:ind w:left="215"/>
      </w:pPr>
      <w:r>
        <w:rPr>
          <w:rFonts w:ascii="Times New Roman" w:cs="Times New Roman" w:eastAsia="Times New Roman" w:hAnsi="Times New Roman"/>
          <w:i/>
          <w:iCs/>
          <w:color w:val="1F2937"/>
          <w:sz w:val="22"/>
          <w:szCs w:val="22"/>
        </w:rPr>
        <w:t xml:space="preserve">La partie pratique (Exercice 1 à Challenge) représente environ 70 % du contenu entre les repères de section.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t0_m5gwrzwachmb7-fnu" Type="http://schemas.openxmlformats.org/officeDocument/2006/relationships/hyperlink" Target="https://entreprendre.service-public.gouv.fr/vosdroits/F23961" TargetMode="External"/><Relationship Id="rIdfwz-f9gzt6xm66szbz8pv" Type="http://schemas.openxmlformats.org/officeDocument/2006/relationships/hyperlink" Target="https://www.autoentrepreneur.urssaf.fr/portail/accueil/sinformer-sur-le-statut/lessentiel-du-statut.html" TargetMode="External"/><Relationship Id="rIdvksswak60bo8io9q7hb8w" Type="http://schemas.openxmlformats.org/officeDocument/2006/relationships/hyperlink" Target="https://entreprendre.service-public.gouv.fr/vosdroits/F23575" TargetMode="External"/><Relationship Id="rIdg_swpkhvo8v0i0xiubr0t" Type="http://schemas.openxmlformats.org/officeDocument/2006/relationships/hyperlink" Target="https://www.impots.gouv.fr/particulier/les-revenus-mobiliers" TargetMode="External"/><Relationship Id="rId19q38wl8ipw7htaul0-ne" Type="http://schemas.openxmlformats.org/officeDocument/2006/relationships/hyperlink" Target="https://www.amf-france.org/fr/espace-epargnants" TargetMode="External"/><Relationship Id="rIdbij9ekdosy2ahnvdhesiz" Type="http://schemas.openxmlformats.org/officeDocument/2006/relationships/hyperlink" Target="https://www.amf-france.org/sites/institutionnel/files/pdf/59187/fr/Quelles_sont_les_arnaques_les_plus_courantes_.pdf" TargetMode="External"/><Relationship Id="rIdsafk8e_xnybjfh28vrw4r" Type="http://schemas.openxmlformats.org/officeDocument/2006/relationships/hyperlink" Target="https://bpifrance-creation.fr/encyclopedie/micro-entreprise-regime-auto-entrepreneur/comparaison-dautres-regimes/comparaiso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2026-10-04T05:16:39.026Z</dcterms:created>
  <dcterms:modified xsi:type="dcterms:W3CDTF">2026-10-04T05:16:39.038Z</dcterms:modified>
</cp:coreProperties>
</file>

<file path=docProps/custom.xml><?xml version="1.0" encoding="utf-8"?>
<Properties xmlns="http://schemas.openxmlformats.org/officeDocument/2006/custom-properties" xmlns:vt="http://schemas.openxmlformats.org/officeDocument/2006/docPropsVTypes"/>
</file>