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RGPD — Compte-rendu quotidien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2026-06-09 • Règlement UE 2016/679 (RGPD) &amp; loi Informatique et Libertés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d'alerte du jour : </w:t>
      </w:r>
      <w:r>
        <w:rPr>
          <w:rFonts w:ascii="Calibri" w:cs="Calibri" w:eastAsia="Calibri" w:hAnsi="Calibri"/>
          <w:b/>
          <w:bCs/>
          <w:color w:val="C77700"/>
          <w:sz w:val="24"/>
          <w:szCs w:val="24"/>
        </w:rPr>
        <w:t xml:space="preserve">🟡 À SURVEILLER</w:t>
      </w:r>
      <w:r>
        <w:rPr>
          <w:rFonts w:ascii="Calibri" w:cs="Calibri" w:eastAsia="Calibri" w:hAnsi="Calibri"/>
          <w:color w:val="0B7A3B"/>
          <w:sz w:val="22"/>
          <w:szCs w:val="22"/>
        </w:rPr>
        <w:t xml:space="preserve">   •   Sources accessibles : 5/7 ✅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Données de santé : la CNIL sanctionne IQVIA Operations France de 5 M€ pour des garanties insuffisantes sur la gestion d'entrepôts de données de santé. Enseignement clé : la pseudonymisation reste de la donnée personnelle (RGPD) pour le détenteur des clés.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Violation de données : sanction de 5 M€ contre France Travail à la suite d'une violation de données — rappel de l'exigence de sécurité (art. 32) et de notification (art. 33-34).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Cloud : la CNIL publie une grille pour qualifier les acteurs de l'informatique en nuage (responsable / sous-traitant) avant tout traitement — directement utile pour cadrer les contrats d'hébergement.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Recherche en santé : mise à jour et élargissement des méthodologies de référence MR-001 et MR-003 (études internationales, contrôles qualité à distance).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EDPB : adoption d'un modèle d'AIPD (DPIA) harmonisé et finalisation accélérée des lignes directrices sur l'anonymisation ; année des 10 ans du RGPD.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Sanctions &amp; jurisprudence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IQVIA — 5 M€ : </w:t>
      </w:r>
      <w:hyperlink w:history="1" r:id="rIdhjjdte3igtsnoypsuk-w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Données de santé : sanction de 5 millions d'euros à l'encontre d'IQVIA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(28/05/2026)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France Travail — 5 M€ : </w:t>
      </w:r>
      <w:hyperlink w:history="1" r:id="rId2xvs0n-pjvpymdoir1qk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Violation de données : sanction de 5 M€ à l'encontre de France Travail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(mai 2026)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Contexte 2025 (record) : 487 M€ d'amendes prononcées par la CNIL en 2025 (dont Google 325 M€ et Shein 150 M€ pour non-conformité cookies). Intensification confirmée début 2026 : +343 % de contrôles sur 2017-2024.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Doctrine &amp; lignes directrices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Cloud : </w:t>
      </w:r>
      <w:hyperlink w:history="1" r:id="rIdic39v6myvz5sxxvkdtyl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Quelles qualifications pour les acteurs de l'informatique en nuage (cloud) ?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(28/05/2026)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Crédit : </w:t>
      </w:r>
      <w:hyperlink w:history="1" r:id="rIddnkpetaxnvc2fzaayvsr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Recommandation sur l'utilisation de données personnelles pour l'évaluation de la solvabilité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(07/05/2026)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Rapport annuel : </w:t>
      </w:r>
      <w:hyperlink w:history="1" r:id="rIdjfeinpdiwzznw3yctech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Bilan et actions marquantes de la CNIL en 2025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(18/05/2026)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AIPD : </w:t>
      </w:r>
      <w:hyperlink w:history="1" r:id="rId6qltjkem4zbcas-igpnj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Enhancing compliance and consistency: EDPB adopts DPIA template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(14/04/2026)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Recherche &amp; anonymisation : </w:t>
      </w:r>
      <w:hyperlink w:history="1" r:id="rIdzdlbfecutkn5mlessfyy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brings clarity to data processing for scientific research, speeds up anonymisation guidelines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(16/04/2026)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EDPS — Rapport annuel : </w:t>
      </w:r>
      <w:hyperlink w:history="1" r:id="rIdmyhndt706uqyelhnyf_q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EDPS Annual Report 2025: protecting people in a changing digital world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(07/05/2026)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🏥 Focus santé / médico-social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× HAS : </w:t>
      </w:r>
      <w:hyperlink w:history="1" r:id="rIdy74lwswnu6ql2rtu_jqk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Numérique en santé : la CNIL et la HAS s'engagent pour renforcer les bonnes pratiques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(11/03/2026)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Recherche santé : </w:t>
      </w:r>
      <w:hyperlink w:history="1" r:id="rIdxu5obt-uq5a1cqdki2kh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Méthodologies de référence MR-001 et MR-003 : vérifier sa conformité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(26/05/2026)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 sanction IQVIA (entrepôts de données de santé) concerne directement tout acteur manipulant des données de santé via des sous-traitants : la responsabilité ne disparaît pas avec la pseudonymisation.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 (foyer d'hébergement)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Données de santé (art. 9 RGPD) : le dossier usager informatisé (DUI Imago) traite des données sensibles → base légale solide, AIPD obligatoire, accès strictement tracé et limité au besoin d'en connaître.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Sous-traitants &amp; hébergement HDS : tout prestataire hébergeant des données de santé doit être certifié HDS ; contrat de sous-traitance (art. 28) à jour. Leçon IQVIA : la pseudonymisation ne dégage pas le responsable.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Violations de données : procédure de notification CNIL sous 72 h (art. 33) et information des personnes (art. 34) à formaliser — la sanction France Travail rappelle l'enjeu sur les organismes publics/parapublics.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Droits des personnes accompagnées : accès, rectification, effacement, limitation — prévoir une procédure accessible (registre des demandes), adaptée aux personnes vulnérables et à leurs représentants légaux.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Durées de conservation &amp; registre des traitements : revoir les durées (dossier usager, vidéoprotection, RH) et tenir le registre à jour ; articuler avec AGEVAL (événements indésirables) et la démarche qualité HAS.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DPO &amp; culture RGPD : désignation/visibilité du DPO, sensibilisation des équipes (lien avec l'obligation de littératie sous AI Act) — à intégrer au plan de formation.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CNIL — Actualités (cnil.fr/fr/actualites)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CNIL — Santé (cnil.fr/fr/sante)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EDPB — News (edpb.europa.eu)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EDPS — News (edps.europa.eu)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WebSearch — agrégation sanctions/jurisprudence (cnil.fr + général)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◻️ donneespersonnelles.fr &amp; village-justice.com — non consultées ce run (réservées en complément/fallback)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Réunion des autorités de protection des données du G7 à Paris (présidence CNIL), 23-26 juin 2026 ; Privacy Research Day le 24 juin 2026.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Séance plénière CNIL du 4 juin 2026 (ordre du jour publié) — délibérations et éventuelles nouvelles recommandations.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Finalisation des lignes directrices EDPB sur l'anonymisation et déploiement du modèle d'AIPD harmonisé.</w:t>
      </w:r>
    </w:p>
    <w:p>
      <w:pPr>
        <w:spacing w:after="60"/>
      </w:pPr>
      <w:r>
        <w:t xml:space="preserve"/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Compte-rendu généré le 10/06/2026 • Veille quotidienne RGPD • Sources : CNIL, EDPB, EDPS + recherche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jdte3igtsnoypsuk-we" Type="http://schemas.openxmlformats.org/officeDocument/2006/relationships/hyperlink" Target="https://www.cnil.fr/fr/donnees-sante-sanction-5-millions-iqvia" TargetMode="External"/><Relationship Id="rId2xvs0n-pjvpymdoir1qkf" Type="http://schemas.openxmlformats.org/officeDocument/2006/relationships/hyperlink" Target="https://www.cnil.fr/fr/violation-de-donnees-sanction-5millions-france-travail" TargetMode="External"/><Relationship Id="rIdic39v6myvz5sxxvkdtyl6" Type="http://schemas.openxmlformats.org/officeDocument/2006/relationships/hyperlink" Target="https://www.cnil.fr/fr/quelles-qualifications-pour-les-acteurs-de-linformatique-en-nuage-cloud" TargetMode="External"/><Relationship Id="rIddnkpetaxnvc2fzaayvsrd" Type="http://schemas.openxmlformats.org/officeDocument/2006/relationships/hyperlink" Target="https://www.cnil.fr/fr/recommandation-octroi-de-credit" TargetMode="External"/><Relationship Id="rIdjfeinpdiwzznw3yctech_" Type="http://schemas.openxmlformats.org/officeDocument/2006/relationships/hyperlink" Target="https://www.cnil.fr/fr/rapport-annuel-2025" TargetMode="External"/><Relationship Id="rId6qltjkem4zbcas-igpnjo" Type="http://schemas.openxmlformats.org/officeDocument/2006/relationships/hyperlink" Target="https://www.edpb.europa.eu/news/news/2026/enhancing-compliance-and-consistency-edpb-adopts-dpia-template_en" TargetMode="External"/><Relationship Id="rIdzdlbfecutkn5mlessfyyr" Type="http://schemas.openxmlformats.org/officeDocument/2006/relationships/hyperlink" Target="https://www.edpb.europa.eu/news/news/2026/edpb-brings-clarity-data-processing-scientific-research-speeds-finalisation_en" TargetMode="External"/><Relationship Id="rIdmyhndt706uqyelhnyf_qp" Type="http://schemas.openxmlformats.org/officeDocument/2006/relationships/hyperlink" Target="https://www.edps.europa.eu/data-protection/our-work/publications/annual-reports/2026-04-08-annual-report-2025-protecting-people-changing-digital-world_en" TargetMode="External"/><Relationship Id="rIdy74lwswnu6ql2rtu_jqkz" Type="http://schemas.openxmlformats.org/officeDocument/2006/relationships/hyperlink" Target="https://www.cnil.fr/fr/numerique-en-sante-la-cnil-et-la-has-sengagent" TargetMode="External"/><Relationship Id="rIdxu5obt-uq5a1cqdki2khh" Type="http://schemas.openxmlformats.org/officeDocument/2006/relationships/hyperlink" Target="https://www.cnil.fr/fr/methodologies-de-reference-pour-les-recherches-en-sante-verifier-sa-conformite-aux-mr-001-et-mr-003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2026-06-10T09:06:21.203Z</dcterms:created>
  <dcterms:modified xsi:type="dcterms:W3CDTF">2026-06-10T09:06:21.208Z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