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1B3A6B"/>
          <w:sz w:val="36"/>
          <w:szCs w:val="36"/>
        </w:rPr>
        <w:t xml:space="preserve">Veille SERAFIN-PH — Synthèse hebdomadaire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Date de production : 2026-05-01</w:t>
      </w:r>
    </w:p>
    <w:p>
      <w:pPr>
        <w:pStyle w:val="Heading1"/>
        <w:spacing w:after="150" w:before="4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📋 Sources consultées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B3A6B" w:color="1B3A6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shd w:fill="1B3A6B" w:color="1B3A6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shd w:fill="1B3A6B" w:color="1B3A6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shd/>
          </w:tcPr>
          <w:p>
            <w:hyperlink w:history="1" r:id="rIdsite0_2026">
              <w:r>
                <w:rPr>
                  <w:rFonts w:ascii="Calibri" w:cs="Calibri" w:eastAsia="Calibri" w:hAnsi="Calibri"/>
                  <w:sz w:val="20"/>
                  <w:szCs w:val="20"/>
                  <w:color w:val="1155CC"/>
                  <w:u w:val="single"/>
                </w:rPr>
                <w:t xml:space="preserve">handicap.gouv.fr</w:t>
              </w:r>
            </w:hyperlink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Comité stratégique SERAFIN-PH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✅ Accessible</w:t>
            </w:r>
          </w:p>
        </w:tc>
      </w:tr>
      <w:tr>
        <w:tc>
          <w:tcPr>
            <w:shd w:fill="EEF2F7" w:color="EEF2F7" w:val="clear"/>
          </w:tcPr>
          <w:p>
            <w:hyperlink w:history="1" r:id="rIdsite1_2026">
              <w:r>
                <w:rPr>
                  <w:rFonts w:ascii="Calibri" w:cs="Calibri" w:eastAsia="Calibri" w:hAnsi="Calibri"/>
                  <w:sz w:val="20"/>
                  <w:szCs w:val="20"/>
                  <w:color w:val="1155CC"/>
                  <w:u w:val="single"/>
                </w:rPr>
                <w:t xml:space="preserve">cnsa.fr</w:t>
              </w:r>
            </w:hyperlink>
          </w:p>
        </w:tc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Recueil PH 2026 — Préparation</w:t>
            </w:r>
          </w:p>
        </w:tc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✅ Accessible</w:t>
            </w:r>
          </w:p>
        </w:tc>
      </w:tr>
      <w:tr>
        <w:tc>
          <w:tcPr>
            <w:shd/>
          </w:tcPr>
          <w:p>
            <w:hyperlink w:history="1" r:id="rIdsite2_2026">
              <w:r>
                <w:rPr>
                  <w:rFonts w:ascii="Calibri" w:cs="Calibri" w:eastAsia="Calibri" w:hAnsi="Calibri"/>
                  <w:sz w:val="20"/>
                  <w:szCs w:val="20"/>
                  <w:color w:val="1155CC"/>
                  <w:u w:val="single"/>
                </w:rPr>
                <w:t xml:space="preserve">atih.sante.fr</w:t>
              </w:r>
            </w:hyperlink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Recueil national PH 2025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✅ Accessible</w:t>
            </w:r>
          </w:p>
        </w:tc>
      </w:tr>
    </w:tbl>
    <w:p>
      <w:pPr>
        <w:spacing w:after="200"/>
      </w:pPr>
    </w:p>
    <w:p>
      <w:pPr>
        <w:pBdr>
          <w:bottom w:val="single" w:color="CCCCCC" w:sz="6" w:space="1"/>
        </w:pBdr>
        <w:spacing w:after="200"/>
      </w:pPr>
    </w:p>
    <w:p>
      <w:pPr>
        <w:pStyle w:val="Heading1"/>
        <w:spacing w:after="150" w:before="4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🔵 En bref — Tableau de bord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B3A6B" w:color="1B3A6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Thème</w:t>
            </w:r>
          </w:p>
        </w:tc>
        <w:tc>
          <w:tcPr>
            <w:shd w:fill="1B3A6B" w:color="1B3A6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  <w:tc>
          <w:tcPr>
            <w:shd w:fill="1B3A6B" w:color="1B3A6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Échéance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Recueil PH 2025 (secteur enfance)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🟡 Transmission/contrôle en cours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16 mai 2025</w:t>
            </w:r>
          </w:p>
        </w:tc>
      </w:tr>
      <w:tr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Qualité données transport PH 2025</w:t>
            </w:r>
          </w:p>
        </w:tc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🟡 Travaux en cours (groupe technique)</w:t>
            </w:r>
          </w:p>
        </w:tc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Fin 2025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Finalisation modèle de transition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🔵 En cours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Fin 2025 / début 2026</w:t>
            </w:r>
          </w:p>
        </w:tc>
      </w:tr>
      <w:tr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Recueil PH 2026 — Phase 1 (places)</w:t>
            </w:r>
          </w:p>
        </w:tc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🔵 Prévu</w:t>
            </w:r>
          </w:p>
        </w:tc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Mars 2026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Recueil PH 2026 — Phase 2 (indicateurs)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🔵 Prévu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Mai 2026</w:t>
            </w:r>
          </w:p>
        </w:tc>
      </w:tr>
      <w:tr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Simulations d'impact individualisées</w:t>
            </w:r>
          </w:p>
        </w:tc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🔵 Prévu</w:t>
            </w:r>
          </w:p>
        </w:tc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2026 (année blanche)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Déploiement nouveau modèle tarifaire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🔵 Horizon cible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2027</w:t>
            </w:r>
          </w:p>
        </w:tc>
      </w:tr>
    </w:tbl>
    <w:p>
      <w:pPr>
        <w:spacing w:after="200"/>
      </w:pPr>
    </w:p>
    <w:p>
      <w:pPr>
        <w:pBdr>
          <w:bottom w:val="single" w:color="CCCCCC" w:sz="6" w:space="1"/>
        </w:pBdr>
        <w:spacing w:after="200"/>
      </w:pPr>
    </w:p>
    <w:p>
      <w:pPr>
        <w:pStyle w:val="Heading1"/>
        <w:spacing w:after="150" w:before="4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1. Comité stratégique SERAFIN-PH (</w:t>
      </w:r>
      <w:hyperlink w:history="1" r:id="rIdsite0_2026">
        <w:r>
          <w:rPr>
            <w:rFonts w:ascii="Calibri" w:cs="Calibri" w:eastAsia="Calibri" w:hAnsi="Calibri"/>
            <w:b/>
            <w:bCs/>
            <w:sz w:val="28"/>
            <w:szCs w:val="28"/>
            <w:color w:val="1155CC"/>
            <w:u w:val="single"/>
          </w:rPr>
          <w:t xml:space="preserve">handicap.gouv.fr</w:t>
        </w:r>
      </w:hyperlink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)</w:t>
      </w:r>
    </w:p>
    <w:p>
      <w:pPr>
        <w:spacing w:after="1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Réunion du 2 juillet 2025 — Ministre Charlotte Parmentier-Lecocq</w:t>
      </w:r>
    </w:p>
    <w:p>
      <w:pPr>
        <w:spacing w:after="120" w:before="30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Résultats du recueil PH 2025</w:t>
      </w:r>
    </w:p>
    <w:p>
      <w:pPr>
        <w:spacing w:after="1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Le recueil 2025 affiche un taux de participation historique :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86 % des ESMS répondants, représentant 90 % des solutions installées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Forte mobilisation des fédérations du secteur et des ARS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Base de données solide pour les simulations du modèle de transition</w:t>
      </w:r>
    </w:p>
    <w:p>
      <w:pPr>
        <w:spacing w:after="120" w:before="30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Points de difficulté identifiés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Qualité des données relatives aux transports : anomalies détectées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Groupe technique national mobilisé : travaux ciblés durant l'été et en fin d'année</w:t>
      </w:r>
    </w:p>
    <w:p>
      <w:pPr>
        <w:spacing w:after="120" w:before="30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Prochaines étapes annoncées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Finalisation du modèle de transition tarifaire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Recueil PH 2026 (périmètre réduit par rapport à 2025)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Partage des simulations d'impact financier au niveau de chaque établissement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1F2937"/>
          <w:sz w:val="22"/>
          <w:szCs w:val="22"/>
        </w:rPr>
        <w:t xml:space="preserve">Le ministre a souligné l'engagement du secteur à contribuer à la consolidation du modèle. L'objectif affiché est d'éviter les baisses de financement et de favoriser l'évolution organisationnelle des structures.</w:t>
      </w:r>
    </w:p>
    <w:p>
      <w:pPr>
        <w:spacing w:after="200"/>
      </w:pPr>
    </w:p>
    <w:p>
      <w:pPr>
        <w:pBdr>
          <w:bottom w:val="single" w:color="CCCCCC" w:sz="6" w:space="1"/>
        </w:pBdr>
        <w:spacing w:after="200"/>
      </w:pPr>
    </w:p>
    <w:p>
      <w:pPr>
        <w:pStyle w:val="Heading1"/>
        <w:spacing w:after="150" w:before="4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2. Préparation du recueil PH 2026 (</w:t>
      </w:r>
      <w:hyperlink w:history="1" r:id="rIdsite1_2026">
        <w:r>
          <w:rPr>
            <w:rFonts w:ascii="Calibri" w:cs="Calibri" w:eastAsia="Calibri" w:hAnsi="Calibri"/>
            <w:b/>
            <w:bCs/>
            <w:sz w:val="28"/>
            <w:szCs w:val="28"/>
            <w:color w:val="1155CC"/>
            <w:u w:val="single"/>
          </w:rPr>
          <w:t xml:space="preserve">cnsa.fr</w:t>
        </w:r>
      </w:hyperlink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 — 17/12/2025)</w:t>
      </w:r>
    </w:p>
    <w:p>
      <w:pPr>
        <w:spacing w:after="1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La CNSA et la DGCS ont annoncé la préparation du recueil « PH 2026 » auprès des ESMS du secteur enfance.</w:t>
      </w:r>
    </w:p>
    <w:p>
      <w:pPr>
        <w:spacing w:after="120" w:before="30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Calendrier du recueil PH 2026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Mars 2026 — Phase 1 : caractéristiques des places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Mai 2026 — Phase 2 : indicateurs de modulation d'activité (~10 variables) et dotation complémentaire (6 variables)</w:t>
      </w:r>
    </w:p>
    <w:p>
      <w:pPr>
        <w:spacing w:after="120" w:before="30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Modalités clés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~40 variables au total (strictement nécessaires à l'initialisation du modèle)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Pas de données individuelles ni de détails sur les transports quotidiens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Outil de saisie : application spécifique dans SIDOBA (système d'information de l'offre autonomie)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Accès transmis via les ARS une fois l'ingénierie juridique et technique finalisée</w:t>
      </w:r>
    </w:p>
    <w:p>
      <w:pPr>
        <w:spacing w:after="120" w:before="30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Statut financier 2026</w:t>
      </w:r>
    </w:p>
    <w:p>
      <w:pPr>
        <w:spacing w:after="1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L'année 2026 est déclarée « année blanche » : aucun impact financier sur les structures. Le nouveau modèle tarifaire ne sera effectif qu'à partir de 2027.</w:t>
      </w:r>
    </w:p>
    <w:p>
      <w:pPr>
        <w:spacing w:after="200"/>
      </w:pPr>
    </w:p>
    <w:p>
      <w:pPr>
        <w:pBdr>
          <w:bottom w:val="single" w:color="CCCCCC" w:sz="6" w:space="1"/>
        </w:pBdr>
        <w:spacing w:after="200"/>
      </w:pPr>
    </w:p>
    <w:p>
      <w:pPr>
        <w:pStyle w:val="Heading1"/>
        <w:spacing w:after="150" w:before="4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3. Recueil national PH 2025 — État d'avancement (</w:t>
      </w:r>
      <w:hyperlink w:history="1" r:id="rIdsite2_2026">
        <w:r>
          <w:rPr>
            <w:rFonts w:ascii="Calibri" w:cs="Calibri" w:eastAsia="Calibri" w:hAnsi="Calibri"/>
            <w:b/>
            <w:bCs/>
            <w:sz w:val="28"/>
            <w:szCs w:val="28"/>
            <w:color w:val="1155CC"/>
            <w:u w:val="single"/>
          </w:rPr>
          <w:t xml:space="preserve">atih.sante.fr</w:t>
        </w:r>
      </w:hyperlink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)</w:t>
      </w:r>
    </w:p>
    <w:p>
      <w:pPr>
        <w:spacing w:after="1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L'ATIH publie le suivi du Recueil national PH 2025 (secteur enfance uniquement).</w:t>
      </w:r>
    </w:p>
    <w:p>
      <w:pPr>
        <w:spacing w:after="120" w:before="30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Périmètre du recueil PH 2025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Tous les ESMS accompagnant des personnes handicapées du secteur enfance orientées CDAPH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Exclus : CAMSP, CMPP, centres de ressources, PCO, PCPE, équipes mobiles, DAR, UEEA, UEMA</w:t>
      </w:r>
    </w:p>
    <w:p>
      <w:pPr>
        <w:spacing w:after="120" w:before="30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Calendrier (mis à jour 26/03/2025)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3 fév → 13 avr 2025 : recueil des données (coupe de 14 jours calendaires)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17 fév → 16 mai 2025 : transmission, contrôle et validation dans e-PH ← EN COURS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Webinaire d'appui du 07/05/2025 disponible en replay (MdP : hNAkpM7w)</w:t>
      </w:r>
    </w:p>
    <w:p>
      <w:pPr>
        <w:spacing w:after="120" w:before="30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Outils disponibles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RAMSECE-PH 2025 : logiciel de saisie (import/export, pré-remplissage)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e-PH : plateforme de transmission (accès via compte PLAGE)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Support méthodo : methodo.ph@excolyon.com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Support technique : support@atih.sante.fr</w:t>
      </w:r>
    </w:p>
    <w:p>
      <w:pPr>
        <w:spacing w:after="200"/>
      </w:pPr>
    </w:p>
    <w:p>
      <w:pPr>
        <w:pBdr>
          <w:bottom w:val="single" w:color="CCCCCC" w:sz="6" w:space="1"/>
        </w:pBdr>
        <w:spacing w:after="200"/>
      </w:pPr>
    </w:p>
    <w:p>
      <w:pPr>
        <w:pStyle w:val="Heading1"/>
        <w:spacing w:after="150" w:before="4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⚠️ Points de vigilance pour les directions d'ESSMS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6B" w:color="1B3A6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⚠️ Point de vigilance</w:t>
            </w:r>
          </w:p>
        </w:tc>
        <w:tc>
          <w:tcPr>
            <w:shd w:fill="1B3A6B" w:color="1B3A6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Détail pratique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Recueil PH 2025 — Délai transmission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Date limite : 16 mai 2025. Vérifier statut de transmission via e-PH pour les ESMS secteur enfance.</w:t>
            </w:r>
          </w:p>
        </w:tc>
      </w:tr>
      <w:tr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SIDOBA — Outil recueil 2026</w:t>
            </w:r>
          </w:p>
        </w:tc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L'accès au recueil PH 2026 se fera via une application spécifique dans SIDOBA. Anticiper la gestion des accès (comptes PLAGE).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Périmètre foyer d'hébergement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Les foyers hébergeant des adultes ne sont PAS dans le périmètre enfance 2025. Le recueil adultes (périmètre 2026+) reste à confirmer par circulaire ARS.</w:t>
            </w:r>
          </w:p>
        </w:tc>
      </w:tr>
      <w:tr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Modèle place → solution d'accompagnement</w:t>
            </w:r>
          </w:p>
        </w:tc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La réforme bascule du financement à la 'place' vers la 'solution d'accompagnement'. Anticiper la révision des outils de pilotage internes (tableaux de bord, indicateurs).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Trajectoire de convergence tarifaire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Des établissements risquent une baisse de financement à terme. Exiger les simulations d'impact individualisées dès leur mise à disposition (2026) pour anticiper.</w:t>
            </w:r>
          </w:p>
        </w:tc>
      </w:tr>
      <w:tr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Données transport — Qualité</w:t>
            </w:r>
          </w:p>
        </w:tc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Les données transport PH 2025 présentent des anomalies. Un groupe technique national travaille à leur correction. Impact potentiel sur l'équation tarifaire finale.</w:t>
            </w:r>
          </w:p>
        </w:tc>
      </w:tr>
    </w:tbl>
    <w:p>
      <w:pPr>
        <w:spacing w:after="200"/>
      </w:pPr>
    </w:p>
    <w:p>
      <w:pPr>
        <w:pBdr>
          <w:bottom w:val="single" w:color="CCCCCC" w:sz="6" w:space="1"/>
        </w:pBdr>
        <w:spacing w:after="200"/>
      </w:pPr>
    </w:p>
    <w:p>
      <w:pPr>
        <w:pStyle w:val="Heading1"/>
        <w:spacing w:after="150" w:before="4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📅 Agenda — Prochains rendez-vous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[ ] 16 mai 2025 — Limite transmission données PH 2025 dans e-PH (secteur enfance)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[ ] Été 2025 — Travaux qualité données transport (groupe technique national)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[ ] Fin 2025 — Finalisation modèle de transition tarifaire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[ ] Mars 2026 — Phase 1 recueil PH 2026 : caractéristiques des places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[ ] Mai 2026 — Phase 2 recueil PH 2026 : indicateurs modulation / dotation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[ ] 2026 — Réception simulations d'impact financier individualisées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[ ] 2027 — Déploiement effectif du nouveau modèle tarifaire SERAFIN-PH</w:t>
      </w:r>
    </w:p>
    <w:p>
      <w:pPr>
        <w:spacing w:after="200"/>
      </w:pPr>
    </w:p>
    <w:p>
      <w:pPr>
        <w:pBdr>
          <w:bottom w:val="single" w:color="CCCCCC" w:sz="6" w:space="1"/>
        </w:pBdr>
        <w:spacing w:after="200"/>
      </w:pPr>
    </w:p>
    <w:p>
      <w:pPr>
        <w:pStyle w:val="Heading1"/>
        <w:spacing w:after="150" w:before="4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🏛️ Rappel — Rôle des acteurs SERAFIN-PH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6B" w:color="1B3A6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Acteur</w:t>
            </w:r>
          </w:p>
        </w:tc>
        <w:tc>
          <w:tcPr>
            <w:shd w:fill="1B3A6B" w:color="1B3A6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DGCS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Pilotage politique de la réforme ; co-pilote avec la CNSA</w:t>
            </w:r>
          </w:p>
        </w:tc>
      </w:tr>
      <w:tr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CNSA</w:t>
            </w:r>
          </w:p>
        </w:tc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Coordination nationale ; animation du dispositif ; publication des résultats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ATIH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Conception et gestion du recueil de données ; logiciels RAMSECE-PH et e-PH</w:t>
            </w:r>
          </w:p>
        </w:tc>
      </w:tr>
      <w:tr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ARS</w:t>
            </w:r>
          </w:p>
        </w:tc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Relais régional ; transmission des informations et accès aux ESMS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ESMS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Participation au recueil ; transmission des données dans les délais</w:t>
            </w:r>
          </w:p>
        </w:tc>
      </w:tr>
    </w:tbl>
    <w:p>
      <w:pPr>
        <w:spacing w:after="300"/>
      </w:pPr>
    </w:p>
    <w:p>
      <w:pPr>
        <w:pBdr>
          <w:bottom w:val="single" w:color="CCCCCC" w:sz="6" w:space="1"/>
        </w:pBdr>
        <w:spacing w:after="200"/>
      </w:pPr>
    </w:p>
    <w:p>
      <w:pPr>
        <w:jc w:val="center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Veille produite le 2026-05-01 — Sources : </w:t>
      </w:r>
      <w:hyperlink w:history="1" r:id="rIdsite0_2026">
        <w:r>
          <w:rPr>
            <w:rFonts w:ascii="Calibri" w:cs="Calibri" w:eastAsia="Calibri" w:hAnsi="Calibri"/>
            <w:sz w:val="18"/>
            <w:szCs w:val="18"/>
            <w:color w:val="1155CC"/>
            <w:u w:val="single"/>
          </w:rPr>
          <w:t xml:space="preserve">handicap.gouv.fr</w:t>
        </w:r>
      </w:hyperlink>
      <w:r>
        <w:rPr>
          <w:rFonts w:ascii="Calibri" w:cs="Calibri" w:eastAsia="Calibri" w:hAnsi="Calibri"/>
          <w:color w:val="6B7280"/>
          <w:sz w:val="18"/>
          <w:szCs w:val="18"/>
        </w:rPr>
        <w:t xml:space="preserve"> ✅ · </w:t>
      </w:r>
      <w:hyperlink w:history="1" r:id="rIdsite1_2026">
        <w:r>
          <w:rPr>
            <w:rFonts w:ascii="Calibri" w:cs="Calibri" w:eastAsia="Calibri" w:hAnsi="Calibri"/>
            <w:sz w:val="18"/>
            <w:szCs w:val="18"/>
            <w:color w:val="1155CC"/>
            <w:u w:val="single"/>
          </w:rPr>
          <w:t xml:space="preserve">cnsa.fr</w:t>
        </w:r>
      </w:hyperlink>
      <w:r>
        <w:rPr>
          <w:rFonts w:ascii="Calibri" w:cs="Calibri" w:eastAsia="Calibri" w:hAnsi="Calibri"/>
          <w:color w:val="6B7280"/>
          <w:sz w:val="18"/>
          <w:szCs w:val="18"/>
        </w:rPr>
        <w:t xml:space="preserve"> ✅ · </w:t>
      </w:r>
      <w:hyperlink w:history="1" r:id="rIdsite2_2026">
        <w:r>
          <w:rPr>
            <w:rFonts w:ascii="Calibri" w:cs="Calibri" w:eastAsia="Calibri" w:hAnsi="Calibri"/>
            <w:sz w:val="18"/>
            <w:szCs w:val="18"/>
            <w:color w:val="1155CC"/>
            <w:u w:val="single"/>
          </w:rPr>
          <w:t xml:space="preserve">atih.sante.fr</w:t>
        </w:r>
      </w:hyperlink>
      <w:r>
        <w:rPr>
          <w:rFonts w:ascii="Calibri" w:cs="Calibri" w:eastAsia="Calibri" w:hAnsi="Calibri"/>
          <w:color w:val="6B7280"/>
          <w:sz w:val="18"/>
          <w:szCs w:val="18"/>
        </w:rPr>
        <w:t xml:space="preserve"> ✅</w:t>
      </w:r>
    </w:p>
    <w:p>
      <w:pPr>
        <w:spacing w:after="120" w:before="32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📝 Journal des corrections — 12 septembre 2026</w:t>
      </w:r>
    </w:p>
    <w:p>
      <w:p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Note produite le 01/05/2026, relue le 12/09/2026 au cours d'un contrôle d'attribution des 221 documents du dépôt (règle ⑭ : un site cité comme source sans aucune page listée bloque comme une page). Une correction de forme, aucun contenu modifié.</w:t>
      </w:r>
    </w:p>
    <w:p>
      <w:p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Cette note est antérieure aux règles de lien des prompts : elle nommait ses sources sans aucune adresse — le lecteur ne pouvait en ouvrir aucune. Liens posés le 12/09/2026 sur chaque mention, vers la page que la note décrit : handicap.gouv.fr — page du comité stratégique SERAFIN-PH (3 occurrences) ; cnsa.fr — préparation du recueil PH 2026 (17/12/2025) (3 occurrences) ; atih.sante.fr — recueil national PH 2025 (3 occurrences). Chaque page répond 200 à un navigateur le 12/09/2026.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site0_2026" Type="http://schemas.openxmlformats.org/officeDocument/2006/relationships/hyperlink" Target="https://handicap.gouv.fr/comite-strategique-de-la-reforme-tarifaire-des-etablissements-et-services-pour-personnes-handicapees-serafin-ph" TargetMode="External"/><Relationship Id="rIdsite1_2026" Type="http://schemas.openxmlformats.org/officeDocument/2006/relationships/hyperlink" Target="https://www.cnsa.fr/actualites/serafin-ph-preparation-du-recueil-dinformations-ph-2026-en-vue-du-deploiement-du-futur" TargetMode="External"/><Relationship Id="rIdsite2_2026" Type="http://schemas.openxmlformats.org/officeDocument/2006/relationships/hyperlink" Target="https://www.atih.sante.fr/recueil-national-ph-2025" TargetMode="Externa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2026-05-01T21:48:40.782Z</dcterms:created>
  <dcterms:modified xsi:type="dcterms:W3CDTF">2026-05-01T21:48:40.798Z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