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A6B"/>
          <w:sz w:val="32"/>
          <w:szCs w:val="32"/>
        </w:rPr>
        <w:t xml:space="preserve">Veille SERAFIN-PH — Synthèse hebdomadaire</w:t>
      </w:r>
    </w:p>
    <w:p>
      <w:pPr>
        <w:spacing w:after="80"/>
      </w:pPr>
      <w:r>
        <w:rPr>
          <w:rFonts w:ascii="Calibri" w:cs="Calibri" w:eastAsia="Calibri" w:hAnsi="Calibri"/>
          <w:color w:val="1F2937"/>
          <w:sz w:val="20"/>
          <w:szCs w:val="20"/>
        </w:rPr>
        <w:t xml:space="preserve">Date de production : 23 septembre 2026   |   Fenêtre de veille : 16 – 23 septembre 2026</w:t>
      </w:r>
    </w:p>
    <w:p>
      <w:pPr>
        <w:spacing w:after="60" w:before="60"/>
      </w:pPr>
      <w:r>
        <w:rPr>
          <w:rFonts w:ascii="Calibri" w:cs="Calibri" w:eastAsia="Calibri" w:hAnsi="Calibri"/>
          <w:i/>
          <w:iCs/>
          <w:color w:val="1F2937"/>
          <w:sz w:val="22"/>
          <w:szCs w:val="22"/>
        </w:rPr>
        <w:t xml:space="preserve">⚠️ SEMAINE CREUSE — Aucune publication SERAFIN-PH identifiée dans la fenêtre du 16 au 23 septembre 2026. La note contient les rappels de contexte les plus récents.</w:t>
      </w:r>
    </w:p>
    <w:p>
      <w:pPr>
        <w:spacing w:after="80" w:before="80"/>
      </w:pPr>
    </w:p>
    <w:p>
      <w:pPr>
        <w:spacing w:after="80" w:before="240"/>
      </w:pPr>
      <w:r>
        <w:rPr>
          <w:rFonts w:ascii="Calibri" w:cs="Calibri" w:eastAsia="Calibri" w:hAnsi="Calibri"/>
          <w:b/>
          <w:bCs/>
          <w:color w:val="1B3A6B"/>
          <w:sz w:val="24"/>
          <w:szCs w:val="24"/>
        </w:rPr>
        <w:t xml:space="preserve">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5%"/>
            <w:gridSpan w:val="1"/>
            <w:shd w:fill="1B3A6B" w:val="solid"/>
          </w:tcPr>
          <w:p>
            <w:pPr>
              <w:jc w:val="left"/>
            </w:pPr>
            <w:r>
              <w:rPr>
                <w:rFonts w:ascii="Calibri" w:cs="Calibri" w:eastAsia="Calibri" w:hAnsi="Calibri"/>
                <w:b/>
                <w:bCs/>
                <w:color w:val="FFFFFF"/>
                <w:sz w:val="20"/>
                <w:szCs w:val="20"/>
              </w:rPr>
              <w:t xml:space="preserve">Source documentaire</w:t>
            </w:r>
          </w:p>
        </w:tc>
        <w:tc>
          <w:tcPr>
            <w:tcW w:type="pct" w:w="30%"/>
            <w:gridSpan w:val="1"/>
            <w:shd w:fill="1B3A6B" w:val="solid"/>
          </w:tcPr>
          <w:p>
            <w:pPr>
              <w:jc w:val="left"/>
            </w:pPr>
            <w:r>
              <w:rPr>
                <w:rFonts w:ascii="Calibri" w:cs="Calibri" w:eastAsia="Calibri" w:hAnsi="Calibri"/>
                <w:b/>
                <w:bCs/>
                <w:color w:val="FFFFFF"/>
                <w:sz w:val="20"/>
                <w:szCs w:val="20"/>
              </w:rPr>
              <w:t xml:space="preserve">URL (lien cliquable)</w:t>
            </w:r>
          </w:p>
        </w:tc>
        <w:tc>
          <w:tcPr>
            <w:tcW w:type="pct" w:w="15%"/>
            <w:gridSpan w:val="1"/>
            <w:shd w:fill="1B3A6B" w:val="solid"/>
          </w:tcPr>
          <w:p>
            <w:pPr>
              <w:jc w:val="left"/>
            </w:pPr>
            <w:r>
              <w:rPr>
                <w:rFonts w:ascii="Calibri" w:cs="Calibri" w:eastAsia="Calibri" w:hAnsi="Calibri"/>
                <w:b/>
                <w:bCs/>
                <w:color w:val="FFFFFF"/>
                <w:sz w:val="20"/>
                <w:szCs w:val="20"/>
              </w:rPr>
              <w:t xml:space="preserve">Statut</w:t>
            </w:r>
          </w:p>
        </w:tc>
      </w:tr>
      <w:tr>
        <w:tc>
          <w:p>
            <w:r>
              <w:rPr>
                <w:rFonts w:ascii="Calibri" w:cs="Calibri" w:eastAsia="Calibri" w:hAnsi="Calibri"/>
                <w:b w:val="false"/>
                <w:bCs w:val="false"/>
                <w:color w:val="1F2937"/>
                <w:sz w:val="20"/>
                <w:szCs w:val="20"/>
              </w:rPr>
              <w:t xml:space="preserve">handicap.gouv.fr — 14e comité stratégique SERAFIN-PH (23 mars 2026)</w:t>
            </w:r>
          </w:p>
        </w:tc>
        <w:tc>
          <w:p>
            <w:hyperlink w:history="1" r:id="rIddd-shmdxsjshqamscanf6">
              <w:r>
                <w:rPr>
                  <w:rStyle w:val="Hyperlink"/>
                  <w:rFonts w:ascii="Calibri" w:cs="Calibri" w:eastAsia="Calibri" w:hAnsi="Calibri"/>
                  <w:color w:val="1155CC"/>
                  <w:sz w:val="22"/>
                  <w:szCs w:val="22"/>
                  <w:u w:val="single"/>
                </w:rPr>
                <w:t xml:space="preserve">https://handicap.gouv.fr/reforme-tarifaire-des-esms-serafin-ph-14e-reunion-du-comite-strategique</w:t>
              </w:r>
            </w:hyperlink>
          </w:p>
        </w:tc>
        <w:tc>
          <w:p>
            <w:r>
              <w:rPr>
                <w:rFonts w:ascii="Calibri" w:cs="Calibri" w:eastAsia="Calibri" w:hAnsi="Calibri"/>
                <w:b w:val="false"/>
                <w:bCs w:val="false"/>
                <w:color w:val="1F2937"/>
                <w:sz w:val="20"/>
                <w:szCs w:val="20"/>
              </w:rPr>
              <w:t xml:space="preserve">✅ Consultée — contenu repris</w:t>
            </w:r>
          </w:p>
        </w:tc>
      </w:tr>
      <w:tr>
        <w:tc>
          <w:tcPr>
            <w:shd w:fill="EEF2F7" w:val="solid"/>
          </w:tcPr>
          <w:p>
            <w:r>
              <w:rPr>
                <w:rFonts w:ascii="Calibri" w:cs="Calibri" w:eastAsia="Calibri" w:hAnsi="Calibri"/>
                <w:b w:val="false"/>
                <w:bCs w:val="false"/>
                <w:color w:val="1F2937"/>
                <w:sz w:val="20"/>
                <w:szCs w:val="20"/>
              </w:rPr>
              <w:t xml:space="preserve">CNSA.fr — Page SERAFIN-PH (budget et financement)</w:t>
            </w:r>
          </w:p>
        </w:tc>
        <w:tc>
          <w:tcPr>
            <w:shd w:fill="EEF2F7" w:val="solid"/>
          </w:tcPr>
          <w:p>
            <w:hyperlink w:history="1" r:id="rId4ktuwwho-jb1fzv74f1r3">
              <w:r>
                <w:rPr>
                  <w:rStyle w:val="Hyperlink"/>
                  <w:rFonts w:ascii="Calibri" w:cs="Calibri" w:eastAsia="Calibri" w:hAnsi="Calibri"/>
                  <w:color w:val="1155CC"/>
                  <w:sz w:val="22"/>
                  <w:szCs w:val="22"/>
                  <w:u w:val="single"/>
                </w:rPr>
                <w:t xml:space="preserve">https://www.cnsa.fr/budget-et-financement/serafin-PH</w:t>
              </w:r>
            </w:hyperlink>
          </w:p>
        </w:tc>
        <w:tc>
          <w:tcPr>
            <w:shd w:fill="EEF2F7" w:val="solid"/>
          </w:tcPr>
          <w:p>
            <w:r>
              <w:rPr>
                <w:rFonts w:ascii="Calibri" w:cs="Calibri" w:eastAsia="Calibri" w:hAnsi="Calibri"/>
                <w:b w:val="false"/>
                <w:bCs w:val="false"/>
                <w:color w:val="1F2937"/>
                <w:sz w:val="20"/>
                <w:szCs w:val="20"/>
              </w:rPr>
              <w:t xml:space="preserve">✅ Consultée — contenu repris</w:t>
            </w:r>
          </w:p>
        </w:tc>
      </w:tr>
      <w:tr>
        <w:tc>
          <w:p>
            <w:r>
              <w:rPr>
                <w:rFonts w:ascii="Calibri" w:cs="Calibri" w:eastAsia="Calibri" w:hAnsi="Calibri"/>
                <w:b w:val="false"/>
                <w:bCs w:val="false"/>
                <w:color w:val="1F2937"/>
                <w:sz w:val="20"/>
                <w:szCs w:val="20"/>
              </w:rPr>
              <w:t xml:space="preserve">CNSA.fr — Préparation recueil PH 2026 (publiée le 17/12/2025)</w:t>
            </w:r>
          </w:p>
        </w:tc>
        <w:tc>
          <w:p>
            <w:hyperlink w:history="1" r:id="rIdcxpnaybw0nfmebk8ipaxv">
              <w:r>
                <w:rPr>
                  <w:rStyle w:val="Hyperlink"/>
                  <w:rFonts w:ascii="Calibri" w:cs="Calibri" w:eastAsia="Calibri" w:hAnsi="Calibri"/>
                  <w:color w:val="1155CC"/>
                  <w:sz w:val="22"/>
                  <w:szCs w:val="22"/>
                  <w:u w:val="single"/>
                </w:rPr>
                <w:t xml:space="preserve">https://www.cnsa.fr/actualites/serafin-ph-preparation-du-recueil-dinformations-ph-2026-en-vue-du-deploiement-du-futur</w:t>
              </w:r>
            </w:hyperlink>
          </w:p>
        </w:tc>
        <w:tc>
          <w:p>
            <w:r>
              <w:rPr>
                <w:rFonts w:ascii="Calibri" w:cs="Calibri" w:eastAsia="Calibri" w:hAnsi="Calibri"/>
                <w:b w:val="false"/>
                <w:bCs w:val="false"/>
                <w:color w:val="1F2937"/>
                <w:sz w:val="20"/>
                <w:szCs w:val="20"/>
              </w:rPr>
              <w:t xml:space="preserve">✅ Consultée — contenu repris (deux phases du recueil, nombre de variables)</w:t>
            </w:r>
          </w:p>
        </w:tc>
      </w:tr>
      <w:tr>
        <w:tc>
          <w:tcPr>
            <w:shd w:fill="EEF2F7" w:val="solid"/>
          </w:tcPr>
          <w:p>
            <w:r>
              <w:rPr>
                <w:rFonts w:ascii="Calibri" w:cs="Calibri" w:eastAsia="Calibri" w:hAnsi="Calibri"/>
                <w:b w:val="false"/>
                <w:bCs w:val="false"/>
                <w:color w:val="1F2937"/>
                <w:sz w:val="20"/>
                <w:szCs w:val="20"/>
              </w:rPr>
              <w:t xml:space="preserve">ATIH — Recueil national PH 2025</w:t>
            </w:r>
          </w:p>
        </w:tc>
        <w:tc>
          <w:tcPr>
            <w:shd w:fill="EEF2F7" w:val="solid"/>
          </w:tcPr>
          <w:p>
            <w:hyperlink w:history="1" r:id="rIdichyatjmjx7ziht88eqve">
              <w:r>
                <w:rPr>
                  <w:rStyle w:val="Hyperlink"/>
                  <w:rFonts w:ascii="Calibri" w:cs="Calibri" w:eastAsia="Calibri" w:hAnsi="Calibri"/>
                  <w:color w:val="1155CC"/>
                  <w:sz w:val="22"/>
                  <w:szCs w:val="22"/>
                  <w:u w:val="single"/>
                </w:rPr>
                <w:t xml:space="preserve">https://www.atih.sante.fr/recueil-national-ph-2025</w:t>
              </w:r>
            </w:hyperlink>
          </w:p>
        </w:tc>
        <w:tc>
          <w:tcPr>
            <w:shd w:fill="EEF2F7" w:val="solid"/>
          </w:tcPr>
          <w:p>
            <w:r>
              <w:rPr>
                <w:rFonts w:ascii="Calibri" w:cs="Calibri" w:eastAsia="Calibri" w:hAnsi="Calibri"/>
                <w:b w:val="false"/>
                <w:bCs w:val="false"/>
                <w:color w:val="1F2937"/>
                <w:sz w:val="20"/>
                <w:szCs w:val="20"/>
              </w:rPr>
              <w:t xml:space="preserve">✅ Consultée — fond documentaire</w:t>
            </w:r>
          </w:p>
        </w:tc>
      </w:tr>
      <w:tr>
        <w:tc>
          <w:p>
            <w:r>
              <w:rPr>
                <w:rFonts w:ascii="Calibri" w:cs="Calibri" w:eastAsia="Calibri" w:hAnsi="Calibri"/>
                <w:b w:val="false"/>
                <w:bCs w:val="false"/>
                <w:color w:val="1F2937"/>
                <w:sz w:val="20"/>
                <w:szCs w:val="20"/>
              </w:rPr>
              <w:t xml:space="preserve">Légifrance — Décret n° 2026-376 du 13 mai 2026</w:t>
            </w:r>
          </w:p>
        </w:tc>
        <w:tc>
          <w:p>
            <w:hyperlink w:history="1" r:id="rIdopby8c1sursebuynzk_kb">
              <w:r>
                <w:rPr>
                  <w:rStyle w:val="Hyperlink"/>
                  <w:rFonts w:ascii="Calibri" w:cs="Calibri" w:eastAsia="Calibri" w:hAnsi="Calibri"/>
                  <w:color w:val="1155CC"/>
                  <w:sz w:val="22"/>
                  <w:szCs w:val="22"/>
                  <w:u w:val="single"/>
                </w:rPr>
                <w:t xml:space="preserve">https://www.legifrance.gouv.fr/jorf/id/JORFTEXT000054103861</w:t>
              </w:r>
            </w:hyperlink>
          </w:p>
        </w:tc>
        <w:tc>
          <w:p>
            <w:r>
              <w:rPr>
                <w:rFonts w:ascii="Calibri" w:cs="Calibri" w:eastAsia="Calibri" w:hAnsi="Calibri"/>
                <w:b w:val="false"/>
                <w:bCs w:val="false"/>
                <w:color w:val="1F2937"/>
                <w:sz w:val="20"/>
                <w:szCs w:val="20"/>
              </w:rPr>
              <w:t xml:space="preserve">⚠️ 403 blocage anti-robot — URL vérifiée via Légifrance.gouv.fr</w:t>
            </w:r>
          </w:p>
        </w:tc>
      </w:tr>
    </w:tbl>
    <w:p>
      <w:pPr>
        <w:spacing w:after="60" w:before="60"/>
      </w:pPr>
      <w:r>
        <w:rPr>
          <w:rFonts w:ascii="Calibri" w:cs="Calibri" w:eastAsia="Calibri" w:hAnsi="Calibri"/>
          <w:color w:val="1F2937"/>
          <w:sz w:val="22"/>
          <w:szCs w:val="22"/>
        </w:rPr>
        <w:t xml:space="preserve">Décompte : 4 sources ✅ (contenu repris dans le corps) | 1 source ⚠️ (Légifrance, 403 anti-robot, page non lue) — 5 sources documentaires tentées. Outils WebSearch / WebFetch / curl non comptabilisés comme sources.</w:t>
      </w:r>
      <w:r>
        <w:rPr>
          <w:rFonts w:ascii="Calibri" w:cs="Calibri" w:eastAsia="Calibri" w:hAnsi="Calibri"/>
          <w:i/>
          <w:iCs/>
          <w:color w:val="6B7280"/>
          <w:sz w:val="18"/>
          <w:szCs w:val="18"/>
        </w:rPr>
        <w:t xml:space="preserve"> [Corrigé le 23/09/2026 : la ligne annonçait « 1 source ⚠️ … | 1 source ⚠️ … » pour deux sources ⚠️, et le pied de note en comptait déjà 2 : un lecteur — comme le contrôle de décompte du dépôt — lisait 1. Le total est désormais écrit.]</w:t>
      </w:r>
    </w:p>
    <w:p>
      <w:pPr>
        <w:spacing w:after="80" w:before="80"/>
      </w:pPr>
    </w:p>
    <w:p>
      <w:pPr>
        <w:spacing w:after="120" w:before="300"/>
      </w:pPr>
      <w:r>
        <w:rPr>
          <w:rFonts w:ascii="Calibri" w:cs="Calibri" w:eastAsia="Calibri" w:hAnsi="Calibri"/>
          <w:b/>
          <w:bCs/>
          <w:color w:val="1B3A6B"/>
          <w:sz w:val="28"/>
          <w:szCs w:val="28"/>
        </w:rPr>
        <w:t xml:space="preserve">🔵 En bref — Tableau de bord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gridSpan w:val="1"/>
            <w:shd w:fill="1B3A6B" w:val="solid"/>
          </w:tcPr>
          <w:p>
            <w:pPr>
              <w:jc w:val="left"/>
            </w:pPr>
            <w:r>
              <w:rPr>
                <w:rFonts w:ascii="Calibri" w:cs="Calibri" w:eastAsia="Calibri" w:hAnsi="Calibri"/>
                <w:b/>
                <w:bCs/>
                <w:color w:val="FFFFFF"/>
                <w:sz w:val="20"/>
                <w:szCs w:val="20"/>
              </w:rPr>
              <w:t xml:space="preserve">Thème</w:t>
            </w:r>
          </w:p>
        </w:tc>
        <w:tc>
          <w:tcPr>
            <w:tcW w:type="pct" w:w="55%"/>
            <w:gridSpan w:val="1"/>
            <w:shd w:fill="1B3A6B" w:val="solid"/>
          </w:tcPr>
          <w:p>
            <w:pPr>
              <w:jc w:val="left"/>
            </w:pPr>
            <w:r>
              <w:rPr>
                <w:rFonts w:ascii="Calibri" w:cs="Calibri" w:eastAsia="Calibri" w:hAnsi="Calibri"/>
                <w:b/>
                <w:bCs/>
                <w:color w:val="FFFFFF"/>
                <w:sz w:val="20"/>
                <w:szCs w:val="20"/>
              </w:rPr>
              <w:t xml:space="preserve">Statut</w:t>
            </w:r>
          </w:p>
        </w:tc>
        <w:tc>
          <w:tcPr>
            <w:tcW w:type="pct" w:w="20%"/>
            <w:gridSpan w:val="1"/>
            <w:shd w:fill="1B3A6B" w:val="solid"/>
          </w:tcPr>
          <w:p>
            <w:pPr>
              <w:jc w:val="left"/>
            </w:pPr>
            <w:r>
              <w:rPr>
                <w:rFonts w:ascii="Calibri" w:cs="Calibri" w:eastAsia="Calibri" w:hAnsi="Calibri"/>
                <w:b/>
                <w:bCs/>
                <w:color w:val="FFFFFF"/>
                <w:sz w:val="20"/>
                <w:szCs w:val="20"/>
              </w:rPr>
              <w:t xml:space="preserve">Échéance</w:t>
            </w:r>
          </w:p>
        </w:tc>
      </w:tr>
      <w:tr>
        <w:tc>
          <w:p>
            <w:r>
              <w:rPr>
                <w:rFonts w:ascii="Calibri" w:cs="Calibri" w:eastAsia="Calibri" w:hAnsi="Calibri"/>
                <w:b/>
                <w:bCs/>
                <w:color w:val="1F2937"/>
                <w:sz w:val="20"/>
                <w:szCs w:val="20"/>
              </w:rPr>
              <w:t xml:space="preserve">Semaine de veille</w:t>
            </w:r>
          </w:p>
        </w:tc>
        <w:tc>
          <w:p>
            <w:r>
              <w:rPr>
                <w:rFonts w:ascii="Calibri" w:cs="Calibri" w:eastAsia="Calibri" w:hAnsi="Calibri"/>
                <w:b w:val="false"/>
                <w:bCs w:val="false"/>
                <w:color w:val="1F2937"/>
                <w:sz w:val="20"/>
                <w:szCs w:val="20"/>
              </w:rPr>
              <w:t xml:space="preserve">Creuse — aucune publication SERAFIN-PH du 16 au 23/09/2026</w:t>
            </w:r>
          </w:p>
        </w:tc>
        <w:tc>
          <w:p>
            <w:r>
              <w:rPr>
                <w:rFonts w:ascii="Calibri" w:cs="Calibri" w:eastAsia="Calibri" w:hAnsi="Calibri"/>
                <w:b w:val="false"/>
                <w:bCs w:val="false"/>
                <w:color w:val="1F2937"/>
                <w:sz w:val="20"/>
                <w:szCs w:val="20"/>
              </w:rPr>
              <w:t xml:space="preserve">—</w:t>
            </w:r>
          </w:p>
        </w:tc>
      </w:tr>
      <w:tr>
        <w:tc>
          <w:tcPr>
            <w:shd w:fill="EEF2F7" w:val="solid"/>
          </w:tcPr>
          <w:p>
            <w:r>
              <w:rPr>
                <w:rFonts w:ascii="Calibri" w:cs="Calibri" w:eastAsia="Calibri" w:hAnsi="Calibri"/>
                <w:b/>
                <w:bCs/>
                <w:color w:val="1F2937"/>
                <w:sz w:val="20"/>
                <w:szCs w:val="20"/>
              </w:rPr>
              <w:t xml:space="preserve">Déploiement réforme</w:t>
            </w:r>
          </w:p>
        </w:tc>
        <w:tc>
          <w:tcPr>
            <w:shd w:fill="EEF2F7" w:val="solid"/>
          </w:tcPr>
          <w:p>
            <w:r>
              <w:rPr>
                <w:rFonts w:ascii="Calibri" w:cs="Calibri" w:eastAsia="Calibri" w:hAnsi="Calibri"/>
                <w:b w:val="false"/>
                <w:bCs w:val="false"/>
                <w:color w:val="1F2937"/>
                <w:sz w:val="20"/>
                <w:szCs w:val="20"/>
              </w:rPr>
              <w:t xml:space="preserve">Confirmé — mise en œuvre au 1er janvier 2027 (secteur enfance)</w:t>
            </w:r>
          </w:p>
        </w:tc>
        <w:tc>
          <w:tcPr>
            <w:shd w:fill="EEF2F7" w:val="solid"/>
          </w:tcPr>
          <w:p>
            <w:r>
              <w:rPr>
                <w:rFonts w:ascii="Calibri" w:cs="Calibri" w:eastAsia="Calibri" w:hAnsi="Calibri"/>
                <w:b w:val="false"/>
                <w:bCs w:val="false"/>
                <w:color w:val="1F2937"/>
                <w:sz w:val="20"/>
                <w:szCs w:val="20"/>
              </w:rPr>
              <w:t xml:space="preserve">1er jan. 2027</w:t>
            </w:r>
          </w:p>
        </w:tc>
      </w:tr>
      <w:tr>
        <w:tc>
          <w:p>
            <w:r>
              <w:rPr>
                <w:rFonts w:ascii="Calibri" w:cs="Calibri" w:eastAsia="Calibri" w:hAnsi="Calibri"/>
                <w:b/>
                <w:bCs/>
                <w:color w:val="1F2937"/>
                <w:sz w:val="20"/>
                <w:szCs w:val="20"/>
              </w:rPr>
              <w:t xml:space="preserve">Simulations individuelles</w:t>
            </w:r>
          </w:p>
        </w:tc>
        <w:tc>
          <w:p>
            <w:r>
              <w:rPr>
                <w:rFonts w:ascii="Calibri" w:cs="Calibri" w:eastAsia="Calibri" w:hAnsi="Calibri"/>
                <w:b w:val="false"/>
                <w:bCs w:val="false"/>
                <w:color w:val="1F2937"/>
                <w:sz w:val="20"/>
                <w:szCs w:val="20"/>
              </w:rPr>
              <w:t xml:space="preserve">En cours — envoi aux ESMS prévu automne 2026</w:t>
            </w:r>
          </w:p>
        </w:tc>
        <w:tc>
          <w:p>
            <w:r>
              <w:rPr>
                <w:rFonts w:ascii="Calibri" w:cs="Calibri" w:eastAsia="Calibri" w:hAnsi="Calibri"/>
                <w:b w:val="false"/>
                <w:bCs w:val="false"/>
                <w:color w:val="1F2937"/>
                <w:sz w:val="20"/>
                <w:szCs w:val="20"/>
              </w:rPr>
              <w:t xml:space="preserve">Automne 2026</w:t>
            </w:r>
          </w:p>
        </w:tc>
      </w:tr>
      <w:tr>
        <w:tc>
          <w:tcPr>
            <w:shd w:fill="EEF2F7" w:val="solid"/>
          </w:tcPr>
          <w:p>
            <w:r>
              <w:rPr>
                <w:rFonts w:ascii="Calibri" w:cs="Calibri" w:eastAsia="Calibri" w:hAnsi="Calibri"/>
                <w:b/>
                <w:bCs/>
                <w:color w:val="1F2937"/>
                <w:sz w:val="20"/>
                <w:szCs w:val="20"/>
              </w:rPr>
              <w:t xml:space="preserve">Recueil SIDOBA 2026</w:t>
            </w:r>
          </w:p>
        </w:tc>
        <w:tc>
          <w:tcPr>
            <w:shd w:fill="EEF2F7" w:val="solid"/>
          </w:tcPr>
          <w:p>
            <w:r>
              <w:rPr>
                <w:rFonts w:ascii="Calibri" w:cs="Calibri" w:eastAsia="Calibri" w:hAnsi="Calibri"/>
                <w:b w:val="false"/>
                <w:bCs w:val="false"/>
                <w:color w:val="1F2937"/>
                <w:sz w:val="20"/>
                <w:szCs w:val="20"/>
              </w:rPr>
              <w:t xml:space="preserve">Terminé — phases 1 et 2 conduites mars – juillet 2026</w:t>
            </w:r>
          </w:p>
        </w:tc>
        <w:tc>
          <w:tcPr>
            <w:shd w:fill="EEF2F7" w:val="solid"/>
          </w:tcPr>
          <w:p>
            <w:r>
              <w:rPr>
                <w:rFonts w:ascii="Calibri" w:cs="Calibri" w:eastAsia="Calibri" w:hAnsi="Calibri"/>
                <w:b w:val="false"/>
                <w:bCs w:val="false"/>
                <w:color w:val="1F2937"/>
                <w:sz w:val="20"/>
                <w:szCs w:val="20"/>
              </w:rPr>
              <w:t xml:space="preserve">Clôturé</w:t>
            </w:r>
          </w:p>
        </w:tc>
      </w:tr>
      <w:tr>
        <w:tc>
          <w:p>
            <w:r>
              <w:rPr>
                <w:rFonts w:ascii="Calibri" w:cs="Calibri" w:eastAsia="Calibri" w:hAnsi="Calibri"/>
                <w:b/>
                <w:bCs/>
                <w:color w:val="1F2937"/>
                <w:sz w:val="20"/>
                <w:szCs w:val="20"/>
              </w:rPr>
              <w:t xml:space="preserve">Décret n° 2026-376</w:t>
            </w:r>
          </w:p>
        </w:tc>
        <w:tc>
          <w:p>
            <w:r>
              <w:rPr>
                <w:rFonts w:ascii="Calibri" w:cs="Calibri" w:eastAsia="Calibri" w:hAnsi="Calibri"/>
                <w:b w:val="false"/>
                <w:bCs w:val="false"/>
                <w:color w:val="1F2937"/>
                <w:sz w:val="20"/>
                <w:szCs w:val="20"/>
              </w:rPr>
              <w:t xml:space="preserve">Publié au JORF le 13 mai 2026 — conditions de transmission des données</w:t>
            </w:r>
          </w:p>
        </w:tc>
        <w:tc>
          <w:p>
            <w:r>
              <w:rPr>
                <w:rFonts w:ascii="Calibri" w:cs="Calibri" w:eastAsia="Calibri" w:hAnsi="Calibri"/>
                <w:b w:val="false"/>
                <w:bCs w:val="false"/>
                <w:color w:val="1F2937"/>
                <w:sz w:val="20"/>
                <w:szCs w:val="20"/>
              </w:rPr>
              <w:t xml:space="preserve">13 mai 2026</w:t>
            </w:r>
          </w:p>
        </w:tc>
      </w:tr>
    </w:tbl>
    <w:p>
      <w:pPr>
        <w:spacing w:after="80" w:before="80"/>
      </w:pPr>
    </w:p>
    <w:p>
      <w:pPr>
        <w:spacing w:after="120" w:before="300"/>
      </w:pPr>
      <w:r>
        <w:rPr>
          <w:rFonts w:ascii="Calibri" w:cs="Calibri" w:eastAsia="Calibri" w:hAnsi="Calibri"/>
          <w:b/>
          <w:bCs/>
          <w:color w:val="1B3A6B"/>
          <w:sz w:val="28"/>
          <w:szCs w:val="28"/>
        </w:rPr>
        <w:t xml:space="preserve">Actualités de la semaine (16 – 23 sept. 2026)</w:t>
      </w:r>
    </w:p>
    <w:p>
      <w:pPr>
        <w:spacing w:after="60" w:before="60"/>
      </w:pPr>
      <w:r>
        <w:rPr>
          <w:rFonts w:ascii="Calibri" w:cs="Calibri" w:eastAsia="Calibri" w:hAnsi="Calibri"/>
          <w:color w:val="1F2937"/>
          <w:sz w:val="22"/>
          <w:szCs w:val="22"/>
        </w:rPr>
        <w:t xml:space="preserve">Aucune publication SERAFIN-PH identifiée sur les sources institutionnelles (handicap.gouv.fr, cnsa.fr, atih.sante.fr) pour la fenêtre annoncée.</w:t>
      </w:r>
    </w:p>
    <w:p>
      <w:pPr>
        <w:spacing w:after="60" w:before="60"/>
      </w:pPr>
      <w:r>
        <w:rPr>
          <w:rFonts w:ascii="Calibri" w:cs="Calibri" w:eastAsia="Calibri" w:hAnsi="Calibri"/>
          <w:color w:val="1F2937"/>
          <w:sz w:val="22"/>
          <w:szCs w:val="22"/>
        </w:rPr>
        <w:t xml:space="preserve">Déclaration honnête — voir la rubrique « Rappel / Contexte » ci-dessous pour les éléments les plus récents.</w:t>
      </w:r>
    </w:p>
    <w:p>
      <w:pPr>
        <w:spacing w:after="80" w:before="80"/>
      </w:pPr>
    </w:p>
    <w:p>
      <w:pPr>
        <w:spacing w:after="120" w:before="300"/>
      </w:pPr>
      <w:r>
        <w:rPr>
          <w:rFonts w:ascii="Calibri" w:cs="Calibri" w:eastAsia="Calibri" w:hAnsi="Calibri"/>
          <w:b/>
          <w:bCs/>
          <w:color w:val="1B3A6B"/>
          <w:sz w:val="28"/>
          <w:szCs w:val="28"/>
        </w:rPr>
        <w:t xml:space="preserve">Rappel / Contexte (événements récents hors fenêtre)</w:t>
      </w:r>
    </w:p>
    <w:p>
      <w:pPr>
        <w:spacing w:after="60" w:before="60"/>
      </w:pPr>
      <w:r>
        <w:rPr>
          <w:rFonts w:ascii="Calibri" w:cs="Calibri" w:eastAsia="Calibri" w:hAnsi="Calibri"/>
          <w:color w:val="1F2937"/>
          <w:sz w:val="22"/>
          <w:szCs w:val="22"/>
        </w:rPr>
        <w:t xml:space="preserve">Les éléments ci-dessous sont antérieurs à la fenêtre de veille (16–23 sept. 2026) mais constituent le contexte institutionnel le plus récent disponible.</w:t>
      </w:r>
    </w:p>
    <w:p>
      <w:pPr>
        <w:spacing w:after="80" w:before="80"/>
      </w:pPr>
    </w:p>
    <w:p>
      <w:pPr>
        <w:spacing w:after="80" w:before="80"/>
      </w:pPr>
      <w:r>
        <w:rPr>
          <w:rFonts w:ascii="Calibri" w:cs="Calibri" w:eastAsia="Calibri" w:hAnsi="Calibri"/>
          <w:color w:val="1F2937"/>
          <w:sz w:val="22"/>
          <w:szCs w:val="22"/>
        </w:rPr>
        <w:t xml:space="preserve">23 mars 2026 — 14e comité stratégique, date déduite du communiqué publié le 27/03/2026 qui écrit « Ce lundi » (</w:t>
      </w:r>
      <w:hyperlink w:history="1" r:id="rId_xdny-bcdzb38nwzx41fr">
        <w:r>
          <w:rPr>
            <w:rStyle w:val="Hyperlink"/>
            <w:rFonts w:ascii="Calibri" w:cs="Calibri" w:eastAsia="Calibri" w:hAnsi="Calibri"/>
            <w:color w:val="1155CC"/>
            <w:sz w:val="22"/>
            <w:szCs w:val="22"/>
            <w:u w:val="single"/>
          </w:rPr>
          <w:t xml:space="preserve">source</w:t>
        </w:r>
      </w:hyperlink>
      <w:r>
        <w:rPr>
          <w:rFonts w:ascii="Calibri" w:cs="Calibri" w:eastAsia="Calibri" w:hAnsi="Calibri"/>
          <w:color w:val="1F2937"/>
          <w:sz w:val="22"/>
          <w:szCs w:val="22"/>
        </w:rPr>
        <w:t xml:space="preserve">) : Camille Galliard-Minier, « ministre chargée de l'Autonomie et des Personnes handicapées », confirme la mise en œuvre opérationnelle de la réforme tarifaire au 1er janvier 2027 pour les ESMS enfants. Lancement du recueil de données le 30 mars 2026 via SIDOBA. Chaque ESMS recevra une simulation de l'impact de la réforme sur son financement. Mobilisation des ESMS et ARS jusqu'en automne 2026 pour vérifier la fiabilité des données.</w:t>
      </w:r>
      <w:r>
        <w:rPr>
          <w:rFonts w:ascii="Calibri" w:cs="Calibri" w:eastAsia="Calibri" w:hAnsi="Calibri"/>
          <w:i/>
          <w:iCs/>
          <w:color w:val="6B7280"/>
          <w:sz w:val="18"/>
          <w:szCs w:val="18"/>
        </w:rPr>
        <w:t xml:space="preserve"> [Corrigé le 23/09/2026 : la date du comité n'est pas écrite sur la page ; elle se déduit de « Ce lundi » et de la date de publication.]</w:t>
      </w:r>
    </w:p>
    <w:p>
      <w:pPr>
        <w:spacing w:after="80" w:before="80"/>
      </w:pPr>
      <w:r>
        <w:rPr>
          <w:rFonts w:ascii="Calibri" w:cs="Calibri" w:eastAsia="Calibri" w:hAnsi="Calibri"/>
          <w:color w:val="1F2937"/>
          <w:sz w:val="22"/>
          <w:szCs w:val="22"/>
        </w:rPr>
        <w:t xml:space="preserve">13 mai 2026 — Décret n° 2026-376 (</w:t>
      </w:r>
      <w:hyperlink w:history="1" r:id="rIdxzidt2odk7jtl0z08mcy5">
        <w:r>
          <w:rPr>
            <w:rStyle w:val="Hyperlink"/>
            <w:rFonts w:ascii="Calibri" w:cs="Calibri" w:eastAsia="Calibri" w:hAnsi="Calibri"/>
            <w:color w:val="1155CC"/>
            <w:sz w:val="22"/>
            <w:szCs w:val="22"/>
            <w:u w:val="single"/>
          </w:rPr>
          <w:t xml:space="preserve">Légifrance ⚠️ 403 blocage anti-robot</w:t>
        </w:r>
      </w:hyperlink>
      <w:r>
        <w:rPr>
          <w:rFonts w:ascii="Calibri" w:cs="Calibri" w:eastAsia="Calibri" w:hAnsi="Calibri"/>
          <w:color w:val="1F2937"/>
          <w:sz w:val="22"/>
          <w:szCs w:val="22"/>
        </w:rPr>
        <w:t xml:space="preserve">) : la page CNSA SERAFIN-PH écrit que « le décret du 13 mai 2026 précise les modalités de transmission de ces informations nécessaires à la mise en œuvre de la réforme de financement ». Le numéro 2026-376 et le fondement légal (art. 90 de la LFSS 2026) ne sont vérifiés sur aucune page ouverte pendant cette exécution — Légifrance répond 403 — : à confirmer. Collecte réalisée entre juin et début juillet 2026 pour les ESMS enfants/jeunes adultes — données non individuelles, portant sur l'activité globale.</w:t>
      </w:r>
      <w:r>
        <w:rPr>
          <w:rFonts w:ascii="Calibri" w:cs="Calibri" w:eastAsia="Calibri" w:hAnsi="Calibri"/>
          <w:i/>
          <w:iCs/>
          <w:color w:val="6B7280"/>
          <w:sz w:val="18"/>
          <w:szCs w:val="18"/>
        </w:rPr>
        <w:t xml:space="preserve"> [Corrigé le 23/09/2026 : le numéro du décret et l'article de la LFSS étaient donnés comme acquis alors que Légifrance répond 403 et qu'aucune autre page consultée ne les porte ; la seule phrase sourcée est celle de la CNSA.]</w:t>
      </w:r>
    </w:p>
    <w:p>
      <w:pPr>
        <w:spacing w:after="80" w:before="80"/>
      </w:pPr>
      <w:r>
        <w:rPr>
          <w:rFonts w:ascii="Calibri" w:cs="Calibri" w:eastAsia="Calibri" w:hAnsi="Calibri"/>
          <w:color w:val="1F2937"/>
          <w:sz w:val="22"/>
          <w:szCs w:val="22"/>
        </w:rPr>
        <w:t xml:space="preserve">Mars–juillet 2026 — Recueil ciblé SIDOBA (</w:t>
      </w:r>
      <w:hyperlink w:history="1" r:id="rIdn28cbphvhumfbytmxeey1">
        <w:r>
          <w:rPr>
            <w:rStyle w:val="Hyperlink"/>
            <w:rFonts w:ascii="Calibri" w:cs="Calibri" w:eastAsia="Calibri" w:hAnsi="Calibri"/>
            <w:color w:val="1155CC"/>
            <w:sz w:val="22"/>
            <w:szCs w:val="22"/>
            <w:u w:val="single"/>
          </w:rPr>
          <w:t xml:space="preserve">CNSA</w:t>
        </w:r>
      </w:hyperlink>
      <w:r>
        <w:rPr>
          <w:rFonts w:ascii="Calibri" w:cs="Calibri" w:eastAsia="Calibri" w:hAnsi="Calibri"/>
          <w:color w:val="1F2937"/>
          <w:sz w:val="22"/>
          <w:szCs w:val="22"/>
        </w:rPr>
        <w:t xml:space="preserve">) : deux phases — phase 1 (mars 2026) : caractéristiques des places ; phase 2 (mai 2026) : indicateurs activité (~10 variables) et dotation complémentaire (6 variables). Recueil terminé.</w:t>
      </w:r>
    </w:p>
    <w:p>
      <w:pPr>
        <w:spacing w:after="80" w:before="80"/>
      </w:pPr>
      <w:r>
        <w:rPr>
          <w:rFonts w:ascii="Calibri" w:cs="Calibri" w:eastAsia="Calibri" w:hAnsi="Calibri"/>
          <w:i/>
          <w:iCs/>
          <w:color w:val="1F2937"/>
          <w:sz w:val="22"/>
          <w:szCs w:val="22"/>
        </w:rPr>
        <w:t xml:space="preserve">Jusqu'à l'automne 2026, puis simulations — le communiqué du 27/03/2026 écrit que « les établissements et les agences régionales de santé seront mobilisés jusqu'à l'automne 2026 pour fiabiliser les données, condition indispensable aux simulations qui seront ensuite transmises aux ESMS ». La date d'envoi des simulations n'est donc pas fixée : elle suit la fiabilisation.</w:t>
      </w:r>
      <w:r>
        <w:rPr>
          <w:rFonts w:ascii="Calibri" w:cs="Calibri" w:eastAsia="Calibri" w:hAnsi="Calibri"/>
          <w:i/>
          <w:iCs/>
          <w:color w:val="6B7280"/>
          <w:sz w:val="18"/>
          <w:szCs w:val="18"/>
        </w:rPr>
        <w:t xml:space="preserve"> [Corrigé le 23/09/2026 : la note plaçait l'envoi des simulations à l'automne 2026 ; la source place la fiabilisation jusqu'à l'automne et les simulations ensuite.]</w:t>
      </w:r>
    </w:p>
    <w:p>
      <w:pPr>
        <w:spacing w:after="80" w:before="80"/>
      </w:pPr>
    </w:p>
    <w:p>
      <w:pPr>
        <w:spacing w:after="120" w:before="300"/>
      </w:pPr>
      <w:r>
        <w:rPr>
          <w:rFonts w:ascii="Calibri" w:cs="Calibri" w:eastAsia="Calibri" w:hAnsi="Calibri"/>
          <w:b/>
          <w:bCs/>
          <w:color w:val="1B3A6B"/>
          <w:sz w:val="28"/>
          <w:szCs w:val="28"/>
        </w:rPr>
        <w:t xml:space="preserve">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gridSpan w:val="1"/>
            <w:shd w:fill="1B3A6B" w:val="solid"/>
          </w:tcPr>
          <w:p>
            <w:pPr>
              <w:jc w:val="left"/>
            </w:pPr>
            <w:r>
              <w:rPr>
                <w:rFonts w:ascii="Calibri" w:cs="Calibri" w:eastAsia="Calibri" w:hAnsi="Calibri"/>
                <w:b/>
                <w:bCs/>
                <w:color w:val="FFFFFF"/>
                <w:sz w:val="20"/>
                <w:szCs w:val="20"/>
              </w:rPr>
              <w:t xml:space="preserve">⚠️ Point de vigilance</w:t>
            </w:r>
          </w:p>
        </w:tc>
        <w:tc>
          <w:tcPr>
            <w:tcW w:type="pct" w:w="70%"/>
            <w:gridSpan w:val="1"/>
            <w:shd w:fill="1B3A6B" w:val="solid"/>
          </w:tcPr>
          <w:p>
            <w:pPr>
              <w:jc w:val="left"/>
            </w:pPr>
            <w:r>
              <w:rPr>
                <w:rFonts w:ascii="Calibri" w:cs="Calibri" w:eastAsia="Calibri" w:hAnsi="Calibri"/>
                <w:b/>
                <w:bCs/>
                <w:color w:val="FFFFFF"/>
                <w:sz w:val="20"/>
                <w:szCs w:val="20"/>
              </w:rPr>
              <w:t xml:space="preserve">Détail pratique</w:t>
            </w:r>
          </w:p>
        </w:tc>
      </w:tr>
      <w:tr>
        <w:tc>
          <w:p>
            <w:r>
              <w:rPr>
                <w:rFonts w:ascii="Calibri" w:cs="Calibri" w:eastAsia="Calibri" w:hAnsi="Calibri"/>
                <w:b/>
                <w:bCs/>
                <w:color w:val="1F2937"/>
                <w:sz w:val="20"/>
                <w:szCs w:val="20"/>
              </w:rPr>
              <w:t xml:space="preserve">⚠️ Simulations individuelles imminentes</w:t>
            </w:r>
          </w:p>
        </w:tc>
        <w:tc>
          <w:p>
            <w:r>
              <w:rPr>
                <w:rFonts w:ascii="Calibri" w:cs="Calibri" w:eastAsia="Calibri" w:hAnsi="Calibri"/>
                <w:b w:val="false"/>
                <w:bCs w:val="false"/>
                <w:color w:val="1F2937"/>
                <w:sz w:val="20"/>
                <w:szCs w:val="20"/>
              </w:rPr>
              <w:t xml:space="preserve">Chaque ESMS enfants concerné recevra à l'automne 2026 sa simulation financière. Anticiper l'analyse avec le CA et le CVS ; préparer les questions sur la dotation complémentaire.</w:t>
            </w:r>
          </w:p>
        </w:tc>
      </w:tr>
      <w:tr>
        <w:tc>
          <w:tcPr>
            <w:shd w:fill="EEF2F7" w:val="solid"/>
          </w:tcPr>
          <w:p>
            <w:r>
              <w:rPr>
                <w:rFonts w:ascii="Calibri" w:cs="Calibri" w:eastAsia="Calibri" w:hAnsi="Calibri"/>
                <w:b/>
                <w:bCs/>
                <w:color w:val="1F2937"/>
                <w:sz w:val="20"/>
                <w:szCs w:val="20"/>
              </w:rPr>
              <w:t xml:space="preserve">⚠️ Dotation complémentaire — six variables, non publiées</w:t>
            </w:r>
          </w:p>
        </w:tc>
        <w:tc>
          <w:tcPr>
            <w:shd w:fill="EEF2F7" w:val="solid"/>
          </w:tcPr>
          <w:p>
            <w:pPr>
              <w:spacing w:after="60" w:before="60"/>
            </w:pPr>
            <w:r>
              <w:rPr>
                <w:rFonts w:ascii="Calibri" w:cs="Calibri" w:eastAsia="Calibri" w:hAnsi="Calibri"/>
                <w:color w:val="1F2937"/>
                <w:sz w:val="22"/>
                <w:szCs w:val="22"/>
              </w:rPr>
              <w:t xml:space="preserve">La CNSA écrit que la seconde phase du recueil PH 2026 (mai 2026) porte sur « les indicateurs visant à la modulation de l'activité (une dizaine de variables) et à la dotation complémentaire (six variables) ». Le détail de ces six variables n'est publié sur aucune des pages consultées pour cette note : ne pas préjuger de leur contenu ; la question est à poser à l'ARS ou en réunion régionale SERAFIN-PH. </w:t>
            </w:r>
            <w:r>
              <w:rPr>
                <w:rFonts w:ascii="Calibri" w:cs="Calibri" w:eastAsia="Calibri" w:hAnsi="Calibri"/>
                <w:i/>
                <w:iCs/>
                <w:color w:val="6B7280"/>
                <w:sz w:val="18"/>
                <w:szCs w:val="18"/>
              </w:rPr>
              <w:t xml:space="preserve">[Corrigé le 23/09/2026 : la note listait six critères — « complexité de situation, scolarisation en milieu ordinaire, coopération, soutien en environnement ordinaire, autodétermination, usage du numérique » — et prescrivait « vérifier comment l'ESMS se positionne sur chaque critère ». Aucun de ces six libellés n'est sur les cinq sources : c'était un fait de mémoire, dans un tableau de vigilance adressé à une direction.]</w:t>
            </w:r>
          </w:p>
        </w:tc>
      </w:tr>
      <w:tr>
        <w:tc>
          <w:p>
            <w:r>
              <w:rPr>
                <w:rFonts w:ascii="Calibri" w:cs="Calibri" w:eastAsia="Calibri" w:hAnsi="Calibri"/>
                <w:b/>
                <w:bCs/>
                <w:color w:val="1F2937"/>
                <w:sz w:val="20"/>
                <w:szCs w:val="20"/>
              </w:rPr>
              <w:t xml:space="preserve">⚠️ Périmètre 2027 : secteur enfance uniquement</w:t>
            </w:r>
          </w:p>
        </w:tc>
        <w:tc>
          <w:p>
            <w:r>
              <w:rPr>
                <w:rFonts w:ascii="Calibri" w:cs="Calibri" w:eastAsia="Calibri" w:hAnsi="Calibri"/>
                <w:b w:val="false"/>
                <w:bCs w:val="false"/>
                <w:color w:val="1F2937"/>
                <w:sz w:val="20"/>
                <w:szCs w:val="20"/>
              </w:rPr>
              <w:t xml:space="preserve">Le déploiement au 1er janvier 2027 ne concerne que les ESMS accompagnant des enfants, adolescents et jeunes adultes en situation de handicap. Les ESMS adultes ne sont PAS concernés par cette première phase.</w:t>
            </w:r>
          </w:p>
        </w:tc>
      </w:tr>
      <w:tr>
        <w:tc>
          <w:tcPr>
            <w:shd w:fill="EEF2F7" w:val="solid"/>
          </w:tcPr>
          <w:p>
            <w:r>
              <w:rPr>
                <w:rFonts w:ascii="Calibri" w:cs="Calibri" w:eastAsia="Calibri" w:hAnsi="Calibri"/>
                <w:b/>
                <w:bCs/>
                <w:color w:val="1F2937"/>
                <w:sz w:val="20"/>
                <w:szCs w:val="20"/>
              </w:rPr>
              <w:t xml:space="preserve">⚠️ SIDOBA ouverte depuis le 30 mars 2026</w:t>
            </w:r>
          </w:p>
        </w:tc>
        <w:tc>
          <w:tcPr>
            <w:shd w:fill="EEF2F7" w:val="solid"/>
          </w:tcPr>
          <w:p>
            <w:r>
              <w:rPr>
                <w:rFonts w:ascii="Calibri" w:cs="Calibri" w:eastAsia="Calibri" w:hAnsi="Calibri"/>
                <w:b w:val="false"/>
                <w:bCs w:val="false"/>
                <w:color w:val="1F2937"/>
                <w:sz w:val="20"/>
                <w:szCs w:val="20"/>
              </w:rPr>
              <w:t xml:space="preserve">L'application SIDOBA SERAFIN est ouverte aux ESMS et aux ARS depuis le lancement du recueil. Ce n'est pas « à venir » : le recueil 2026 est terminé depuis juillet 2026.</w:t>
            </w:r>
          </w:p>
        </w:tc>
      </w:tr>
      <w:tr>
        <w:tc>
          <w:p>
            <w:r>
              <w:rPr>
                <w:rFonts w:ascii="Calibri" w:cs="Calibri" w:eastAsia="Calibri" w:hAnsi="Calibri"/>
                <w:b/>
                <w:bCs/>
                <w:color w:val="1F2937"/>
                <w:sz w:val="20"/>
                <w:szCs w:val="20"/>
              </w:rPr>
              <w:t xml:space="preserve">⚠️ Trajectoire de convergence 8 ans (2027-2034)</w:t>
            </w:r>
          </w:p>
        </w:tc>
        <w:tc>
          <w:p>
            <w:r>
              <w:rPr>
                <w:rFonts w:ascii="Calibri" w:cs="Calibri" w:eastAsia="Calibri" w:hAnsi="Calibri"/>
                <w:b w:val="false"/>
                <w:bCs w:val="false"/>
                <w:color w:val="1F2937"/>
                <w:sz w:val="20"/>
                <w:szCs w:val="20"/>
              </w:rPr>
              <w:t xml:space="preserve">La réforme s'applique progressivement. Un gap peut exister entre la simulation de l'automne et l'impact réel sur les premières années. La direction doit scénariser les évolutions de financement dès maintenant.</w:t>
            </w:r>
          </w:p>
        </w:tc>
      </w:tr>
    </w:tbl>
    <w:p>
      <w:pPr>
        <w:spacing w:after="80" w:before="80"/>
      </w:pPr>
    </w:p>
    <w:p>
      <w:pPr>
        <w:spacing w:after="120" w:before="300"/>
      </w:pPr>
      <w:r>
        <w:rPr>
          <w:rFonts w:ascii="Calibri" w:cs="Calibri" w:eastAsia="Calibri" w:hAnsi="Calibri"/>
          <w:b/>
          <w:bCs/>
          <w:color w:val="1B3A6B"/>
          <w:sz w:val="28"/>
          <w:szCs w:val="28"/>
        </w:rPr>
        <w:t xml:space="preserve">Agenda — Prochains rendez-vous</w:t>
      </w:r>
    </w:p>
    <w:p>
      <w:pPr>
        <w:spacing w:after="60" w:before="60"/>
      </w:pPr>
      <w:r>
        <w:rPr>
          <w:rFonts w:ascii="Calibri" w:cs="Calibri" w:eastAsia="Calibri" w:hAnsi="Calibri"/>
          <w:color w:val="1F2937"/>
          <w:sz w:val="22"/>
          <w:szCs w:val="22"/>
        </w:rPr>
        <w:t xml:space="preserve">[ ] Automne 2026 — Réception des simulations théoriques individuelles par les ESMS enfants (source : comité stratégique 23 mars 2026, confirmé CNSA)</w:t>
      </w:r>
    </w:p>
    <w:p>
      <w:pPr>
        <w:spacing w:after="60" w:before="60"/>
      </w:pPr>
      <w:r>
        <w:rPr>
          <w:rFonts w:ascii="Calibri" w:cs="Calibri" w:eastAsia="Calibri" w:hAnsi="Calibri"/>
          <w:color w:val="1F2937"/>
          <w:sz w:val="22"/>
          <w:szCs w:val="22"/>
        </w:rPr>
        <w:t xml:space="preserve">[ ] 1er janvier 2027 — Déploiement opérationnel SERAFIN-PH, secteur enfance — dotation globale de financement en vigueur</w:t>
      </w:r>
    </w:p>
    <w:p>
      <w:pPr>
        <w:spacing w:after="60" w:before="60"/>
      </w:pPr>
      <w:r>
        <w:rPr>
          <w:rFonts w:ascii="Calibri" w:cs="Calibri" w:eastAsia="Calibri" w:hAnsi="Calibri"/>
          <w:color w:val="1F2937"/>
          <w:sz w:val="22"/>
          <w:szCs w:val="22"/>
        </w:rPr>
        <w:t xml:space="preserve">[ ] 2027-2034 — Trajectoire de convergence tarifaire progressive sur 8 ans</w:t>
      </w:r>
    </w:p>
    <w:p>
      <w:pPr>
        <w:spacing w:after="80" w:before="80"/>
      </w:pPr>
    </w:p>
    <w:p>
      <w:pPr>
        <w:spacing w:after="120" w:before="300"/>
      </w:pPr>
      <w:r>
        <w:rPr>
          <w:rFonts w:ascii="Calibri" w:cs="Calibri" w:eastAsia="Calibri" w:hAnsi="Calibri"/>
          <w:b/>
          <w:bCs/>
          <w:color w:val="1B3A6B"/>
          <w:sz w:val="28"/>
          <w:szCs w:val="28"/>
        </w:rPr>
        <w:t xml:space="preserve">Rappel SERAFIN-PH — Rôle de chaque acteur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gridSpan w:val="1"/>
            <w:shd w:fill="1B3A6B" w:val="solid"/>
          </w:tcPr>
          <w:p>
            <w:pPr>
              <w:jc w:val="left"/>
            </w:pPr>
            <w:r>
              <w:rPr>
                <w:rFonts w:ascii="Calibri" w:cs="Calibri" w:eastAsia="Calibri" w:hAnsi="Calibri"/>
                <w:b/>
                <w:bCs/>
                <w:color w:val="FFFFFF"/>
                <w:sz w:val="20"/>
                <w:szCs w:val="20"/>
              </w:rPr>
              <w:t xml:space="preserve">Acteur</w:t>
            </w:r>
          </w:p>
        </w:tc>
        <w:tc>
          <w:tcPr>
            <w:tcW w:type="pct" w:w="75%"/>
            <w:gridSpan w:val="1"/>
            <w:shd w:fill="1B3A6B" w:val="solid"/>
          </w:tcPr>
          <w:p>
            <w:pPr>
              <w:jc w:val="left"/>
            </w:pPr>
            <w:r>
              <w:rPr>
                <w:rFonts w:ascii="Calibri" w:cs="Calibri" w:eastAsia="Calibri" w:hAnsi="Calibri"/>
                <w:b/>
                <w:bCs/>
                <w:color w:val="FFFFFF"/>
                <w:sz w:val="20"/>
                <w:szCs w:val="20"/>
              </w:rPr>
              <w:t xml:space="preserve">Rôle dans la réforme SERAFIN-PH</w:t>
            </w:r>
          </w:p>
        </w:tc>
      </w:tr>
      <w:tr>
        <w:tc>
          <w:p>
            <w:r>
              <w:rPr>
                <w:rFonts w:ascii="Calibri" w:cs="Calibri" w:eastAsia="Calibri" w:hAnsi="Calibri"/>
                <w:b/>
                <w:bCs/>
                <w:color w:val="1F2937"/>
                <w:sz w:val="20"/>
                <w:szCs w:val="20"/>
              </w:rPr>
              <w:t xml:space="preserve">DGCS
(Direction générale de la cohésion sociale)</w:t>
            </w:r>
          </w:p>
        </w:tc>
        <w:tc>
          <w:p>
            <w:r>
              <w:rPr>
                <w:rFonts w:ascii="Calibri" w:cs="Calibri" w:eastAsia="Calibri" w:hAnsi="Calibri"/>
                <w:b w:val="false"/>
                <w:bCs w:val="false"/>
                <w:color w:val="1F2937"/>
                <w:sz w:val="20"/>
                <w:szCs w:val="20"/>
              </w:rPr>
              <w:t xml:space="preserve">Pilotage national de la réforme ; co-construction du modèle avec la CNSA ; publication des textes réglementaires (décrets, arrêtés).</w:t>
            </w:r>
          </w:p>
        </w:tc>
      </w:tr>
      <w:tr>
        <w:tc>
          <w:tcPr>
            <w:shd w:fill="EEF2F7" w:val="solid"/>
          </w:tcPr>
          <w:p>
            <w:r>
              <w:rPr>
                <w:rFonts w:ascii="Calibri" w:cs="Calibri" w:eastAsia="Calibri" w:hAnsi="Calibri"/>
                <w:b/>
                <w:bCs/>
                <w:color w:val="1F2937"/>
                <w:sz w:val="20"/>
                <w:szCs w:val="20"/>
              </w:rPr>
              <w:t xml:space="preserve">CNSA
(Caisse nationale de solidarité pour l'autonomie)</w:t>
            </w:r>
          </w:p>
        </w:tc>
        <w:tc>
          <w:tcPr>
            <w:shd w:fill="EEF2F7" w:val="solid"/>
          </w:tcPr>
          <w:p>
            <w:r>
              <w:rPr>
                <w:rFonts w:ascii="Calibri" w:cs="Calibri" w:eastAsia="Calibri" w:hAnsi="Calibri"/>
                <w:b w:val="false"/>
                <w:bCs w:val="false"/>
                <w:color w:val="1F2937"/>
                <w:sz w:val="20"/>
                <w:szCs w:val="20"/>
              </w:rPr>
              <w:t xml:space="preserve">Co-pilotage ; gestion du système d'information SIDOBA pour le recueil et le calcul des dotations ; simulations individuelles ; appui technique aux ARS et ESMS.</w:t>
            </w:r>
          </w:p>
        </w:tc>
      </w:tr>
      <w:tr>
        <w:tc>
          <w:p>
            <w:r>
              <w:rPr>
                <w:rFonts w:ascii="Calibri" w:cs="Calibri" w:eastAsia="Calibri" w:hAnsi="Calibri"/>
                <w:b/>
                <w:bCs/>
                <w:color w:val="1F2937"/>
                <w:sz w:val="20"/>
                <w:szCs w:val="20"/>
              </w:rPr>
              <w:t xml:space="preserve">ATIH
(Agence technique de l'information sur l'hospitalisation)</w:t>
            </w:r>
          </w:p>
        </w:tc>
        <w:tc>
          <w:p>
            <w:r>
              <w:rPr>
                <w:rFonts w:ascii="Calibri" w:cs="Calibri" w:eastAsia="Calibri" w:hAnsi="Calibri"/>
                <w:b w:val="false"/>
                <w:bCs w:val="false"/>
                <w:color w:val="1F2937"/>
                <w:sz w:val="20"/>
                <w:szCs w:val="20"/>
              </w:rPr>
              <w:t xml:space="preserve">Collecte des données nationales via RAMSECE-PH (recueil PH 2025) ; expertise sur les nomenclatures et les indicateurs d'activité.</w:t>
            </w:r>
          </w:p>
        </w:tc>
      </w:tr>
      <w:tr>
        <w:tc>
          <w:tcPr>
            <w:shd w:fill="EEF2F7" w:val="solid"/>
          </w:tcPr>
          <w:p>
            <w:r>
              <w:rPr>
                <w:rFonts w:ascii="Calibri" w:cs="Calibri" w:eastAsia="Calibri" w:hAnsi="Calibri"/>
                <w:b/>
                <w:bCs/>
                <w:color w:val="1F2937"/>
                <w:sz w:val="20"/>
                <w:szCs w:val="20"/>
              </w:rPr>
              <w:t xml:space="preserve">ARS
(Agences régionales de santé)</w:t>
            </w:r>
          </w:p>
        </w:tc>
        <w:tc>
          <w:tcPr>
            <w:shd w:fill="EEF2F7" w:val="solid"/>
          </w:tcPr>
          <w:p>
            <w:r>
              <w:rPr>
                <w:rFonts w:ascii="Calibri" w:cs="Calibri" w:eastAsia="Calibri" w:hAnsi="Calibri"/>
                <w:b w:val="false"/>
                <w:bCs w:val="false"/>
                <w:color w:val="1F2937"/>
                <w:sz w:val="20"/>
                <w:szCs w:val="20"/>
              </w:rPr>
              <w:t xml:space="preserve">Interlocuteur régional des ESMS ; vérification de la fiabilité des données jusqu'en automne 2026 ; transmission à la CNSA.</w:t>
            </w:r>
          </w:p>
        </w:tc>
      </w:tr>
      <w:tr>
        <w:tc>
          <w:p>
            <w:r>
              <w:rPr>
                <w:rFonts w:ascii="Calibri" w:cs="Calibri" w:eastAsia="Calibri" w:hAnsi="Calibri"/>
                <w:b/>
                <w:bCs/>
                <w:color w:val="1F2937"/>
                <w:sz w:val="20"/>
                <w:szCs w:val="20"/>
              </w:rPr>
              <w:t xml:space="preserve">Comité stratégique SERAFIN-PH</w:t>
            </w:r>
          </w:p>
        </w:tc>
        <w:tc>
          <w:p>
            <w:r>
              <w:rPr>
                <w:rFonts w:ascii="Calibri" w:cs="Calibri" w:eastAsia="Calibri" w:hAnsi="Calibri"/>
                <w:b w:val="false"/>
                <w:bCs w:val="false"/>
                <w:color w:val="1F2937"/>
                <w:sz w:val="20"/>
                <w:szCs w:val="20"/>
              </w:rPr>
              <w:t xml:space="preserve">Instance décisionnelle présidée par la ministre chargée de l'Autonomie et des Personnes handicapées (Camille Galliard-Minier, depuis la 14e réunion du 23 mars 2026). Co-piloté par la DGCS et la CNSA.</w:t>
            </w:r>
          </w:p>
        </w:tc>
      </w:tr>
    </w:tbl>
    <w:p>
      <w:pPr>
        <w:spacing w:after="80" w:before="80"/>
      </w:pPr>
    </w:p>
    <w:p>
      <w:pPr>
        <w:spacing w:after="80" w:before="240"/>
      </w:pPr>
      <w:r>
        <w:rPr>
          <w:rFonts w:ascii="Calibri" w:cs="Calibri" w:eastAsia="Calibri" w:hAnsi="Calibri"/>
          <w:b/>
          <w:bCs/>
          <w:color w:val="1B3A6B"/>
          <w:sz w:val="24"/>
          <w:szCs w:val="24"/>
        </w:rPr>
        <w:t xml:space="preserve">Informations de production</w:t>
      </w:r>
    </w:p>
    <w:p>
      <w:pPr>
        <w:spacing w:after="60" w:before="60"/>
      </w:pPr>
      <w:r>
        <w:rPr>
          <w:rFonts w:ascii="Calibri" w:cs="Calibri" w:eastAsia="Calibri" w:hAnsi="Calibri"/>
          <w:color w:val="1F2937"/>
          <w:sz w:val="22"/>
          <w:szCs w:val="22"/>
        </w:rPr>
        <w:t xml:space="preserve">Date de production : 23 septembre 2026</w:t>
      </w:r>
    </w:p>
    <w:p>
      <w:pPr>
        <w:spacing w:after="60" w:before="60"/>
      </w:pPr>
      <w:r>
        <w:rPr>
          <w:rFonts w:ascii="Calibri" w:cs="Calibri" w:eastAsia="Calibri" w:hAnsi="Calibri"/>
          <w:color w:val="1F2937"/>
          <w:sz w:val="22"/>
          <w:szCs w:val="22"/>
        </w:rPr>
        <w:t xml:space="preserve">Fenêtre couverte : 16 – 23 septembre 2026</w:t>
      </w:r>
    </w:p>
    <w:p>
      <w:pPr>
        <w:spacing w:after="60" w:before="60"/>
      </w:pPr>
      <w:r>
        <w:rPr>
          <w:rFonts w:ascii="Calibri" w:cs="Calibri" w:eastAsia="Calibri" w:hAnsi="Calibri"/>
          <w:b/>
          <w:bCs/>
          <w:color w:val="1F2937"/>
          <w:sz w:val="20"/>
          <w:szCs w:val="20"/>
        </w:rPr>
        <w:t xml:space="preserve">Sources accessibles (✅) : </w:t>
      </w:r>
      <w:r>
        <w:rPr>
          <w:rFonts w:ascii="Calibri" w:cs="Calibri" w:eastAsia="Calibri" w:hAnsi="Calibri"/>
          <w:color w:val="1F2937"/>
          <w:sz w:val="20"/>
          <w:szCs w:val="20"/>
        </w:rPr>
        <w:t xml:space="preserve">4 — handicap.gouv.fr (14e comité), cnsa.fr (page SERAFIN-PH), cnsa.fr (préparation recueil PH 2026), atih.sante.fr (recueil PH 2025)</w:t>
      </w:r>
    </w:p>
    <w:p>
      <w:pPr>
        <w:spacing w:after="60" w:before="60"/>
      </w:pPr>
      <w:r>
        <w:rPr>
          <w:rFonts w:ascii="Calibri" w:cs="Calibri" w:eastAsia="Calibri" w:hAnsi="Calibri"/>
          <w:color w:val="1F2937"/>
          <w:sz w:val="22"/>
          <w:szCs w:val="22"/>
        </w:rPr>
        <w:t xml:space="preserve">Sources ⚠️ : 1 — Légifrance, décret du 13 mai 2026 (403 anti-robot, page non lue ; numéro et article non vérifiés)</w:t>
      </w:r>
    </w:p>
    <w:p>
      <w:pPr>
        <w:spacing w:after="60" w:before="60"/>
      </w:pPr>
      <w:r>
        <w:rPr>
          <w:rFonts w:ascii="Calibri" w:cs="Calibri" w:eastAsia="Calibri" w:hAnsi="Calibri"/>
          <w:color w:val="1F2937"/>
          <w:sz w:val="22"/>
          <w:szCs w:val="22"/>
        </w:rPr>
        <w:t xml:space="preserve">Aucun fait d'actualité de mémoire utilisé. Aucune citation entre guillemets non vérifiable mot pour mot.</w:t>
      </w:r>
    </w:p>
    <w:p>
      <w:pPr>
        <w:spacing w:after="120" w:before="320"/>
      </w:pPr>
      <w:r>
        <w:rPr>
          <w:rFonts w:ascii="Calibri" w:cs="Calibri" w:eastAsia="Calibri" w:hAnsi="Calibri"/>
          <w:b/>
          <w:bCs/>
          <w:color w:val="1B3A6B"/>
          <w:sz w:val="28"/>
          <w:szCs w:val="28"/>
        </w:rPr>
        <w:t xml:space="preserve">📝 Journal des corrections — 23 septembre 2026</w:t>
      </w:r>
    </w:p>
    <w:p>
      <w:pPr>
        <w:spacing w:after="60" w:before="60"/>
      </w:pPr>
      <w:r>
        <w:rPr>
          <w:rFonts w:ascii="Calibri" w:cs="Calibri" w:eastAsia="Calibri" w:hAnsi="Calibri"/>
          <w:i/>
          <w:iCs/>
          <w:color w:val="6B7280"/>
          <w:sz w:val="18"/>
          <w:szCs w:val="18"/>
        </w:rPr>
        <w:t xml:space="preserve">Relecture du 23/09/2026 : les cinq pages rouvertes avec un agent de navigateur (quatre en 200, Légifrance en 403). Les corrections sont intégrées au texte, marquées [Corrigé le 23/09/2026 : …]. Formulations d'origine :</w:t>
      </w:r>
    </w:p>
    <w:p>
      <w:pPr>
        <w:spacing w:after="60" w:before="60"/>
      </w:pPr>
      <w:r>
        <w:rPr>
          <w:rFonts w:ascii="Calibri" w:cs="Calibri" w:eastAsia="Calibri" w:hAnsi="Calibri"/>
          <w:i/>
          <w:iCs/>
          <w:color w:val="6B7280"/>
          <w:sz w:val="18"/>
          <w:szCs w:val="18"/>
        </w:rPr>
        <w:t xml:space="preserve">• Sources : la page CNSA « Préparation recueil PH 2026 » était marquée « ⚠️ HTTP 200 — non ouverte directement, fond documentaire » alors que son contenu (phases de mars et mai 2026, une dizaine de variables d'activité, six variables de dotation complémentaire) est repris dans le corps — statut passé à ✅.</w:t>
      </w:r>
    </w:p>
    <w:p>
      <w:pPr>
        <w:spacing w:after="60" w:before="60"/>
      </w:pPr>
      <w:r>
        <w:rPr>
          <w:rFonts w:ascii="Calibri" w:cs="Calibri" w:eastAsia="Calibri" w:hAnsi="Calibri"/>
          <w:i/>
          <w:iCs/>
          <w:color w:val="6B7280"/>
          <w:sz w:val="18"/>
          <w:szCs w:val="18"/>
        </w:rPr>
        <w:t xml:space="preserve">• Sources : « Décompte : 3 sources ✅ | 1 source ⚠️ HTTP 200 | 1 source ⚠️ 403 anti-robot » — deux ⚠️ annoncées une par une, sans total ; le pied de note disait 2. C'est ce qui a fait échouer le push (controle_decompte : « 1 annoncé pour ⚠, liste 2 »).</w:t>
      </w:r>
    </w:p>
    <w:p>
      <w:pPr>
        <w:spacing w:after="60" w:before="60"/>
      </w:pPr>
      <w:r>
        <w:rPr>
          <w:rFonts w:ascii="Calibri" w:cs="Calibri" w:eastAsia="Calibri" w:hAnsi="Calibri"/>
          <w:i/>
          <w:iCs/>
          <w:color w:val="6B7280"/>
          <w:sz w:val="18"/>
          <w:szCs w:val="18"/>
        </w:rPr>
        <w:t xml:space="preserve">• Rappel : « 23 mars 2026 — 14e comité stratégique (source) » — la page ne date pas la réunion : elle écrit « Ce lundi » et porte « Publié le 27/03/2026 ».</w:t>
      </w:r>
    </w:p>
    <w:p>
      <w:pPr>
        <w:spacing w:after="60" w:before="60"/>
      </w:pPr>
      <w:r>
        <w:rPr>
          <w:rFonts w:ascii="Calibri" w:cs="Calibri" w:eastAsia="Calibri" w:hAnsi="Calibri"/>
          <w:i/>
          <w:iCs/>
          <w:color w:val="6B7280"/>
          <w:sz w:val="18"/>
          <w:szCs w:val="18"/>
        </w:rPr>
        <w:t xml:space="preserve">• Rappel : « Décret n° 2026-376 … (art. 90 de la LFSS 2026) » — Légifrance en 403, et ni le numéro ni l'article ne figurent sur les quatre autres pages consultées ; la CNSA confirme la seule date du 13 mai 2026.</w:t>
      </w:r>
    </w:p>
    <w:p>
      <w:pPr>
        <w:spacing w:after="60" w:before="60"/>
      </w:pPr>
      <w:r>
        <w:rPr>
          <w:rFonts w:ascii="Calibri" w:cs="Calibri" w:eastAsia="Calibri" w:hAnsi="Calibri"/>
          <w:i/>
          <w:iCs/>
          <w:color w:val="6B7280"/>
          <w:sz w:val="18"/>
          <w:szCs w:val="18"/>
        </w:rPr>
        <w:t xml:space="preserve">• Rappel : « Automne 2026 (en cours) — Simulations théoriques : chaque ESMS concerné recevra la projection de son enveloppe » — la source dit que la fiabilisation des données court jusqu'à l'automne et que les simulations sont transmises ensuite.</w:t>
      </w:r>
    </w:p>
    <w:p>
      <w:pPr>
        <w:spacing w:after="60" w:before="60"/>
      </w:pPr>
      <w:r>
        <w:rPr>
          <w:rFonts w:ascii="Calibri" w:cs="Calibri" w:eastAsia="Calibri" w:hAnsi="Calibri"/>
          <w:i/>
          <w:iCs/>
          <w:color w:val="6B7280"/>
          <w:sz w:val="18"/>
          <w:szCs w:val="18"/>
        </w:rPr>
        <w:t xml:space="preserve">• Points de vigilance : « Dotation complémentaire — 6 critères : complexité de situation, scolarisation en milieu ordinaire, coopération, soutien en environnement ordinaire, autodétermination, usage du numérique. Vérifier comment l'ESMS se positionne sur chaque critère. » — aucun de ces libellés n'est sur les sources consultées ; la CNSA n'écrit que « six variables ».</w:t>
      </w:r>
    </w:p>
    <w:sectPr>
      <w:pgSz w:w="11906" w:h="16838" w:orient="portrait"/>
      <w:pgMar w:top="793" w:right="1020" w:bottom="793"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d-shmdxsjshqamscanf6" Type="http://schemas.openxmlformats.org/officeDocument/2006/relationships/hyperlink" Target="https://handicap.gouv.fr/reforme-tarifaire-des-esms-serafin-ph-14e-reunion-du-comite-strategique" TargetMode="External"/><Relationship Id="rId4ktuwwho-jb1fzv74f1r3" Type="http://schemas.openxmlformats.org/officeDocument/2006/relationships/hyperlink" Target="https://www.cnsa.fr/budget-et-financement/serafin-PH" TargetMode="External"/><Relationship Id="rIdcxpnaybw0nfmebk8ipaxv" Type="http://schemas.openxmlformats.org/officeDocument/2006/relationships/hyperlink" Target="https://www.cnsa.fr/actualites/serafin-ph-preparation-du-recueil-dinformations-ph-2026-en-vue-du-deploiement-du-futur" TargetMode="External"/><Relationship Id="rIdichyatjmjx7ziht88eqve" Type="http://schemas.openxmlformats.org/officeDocument/2006/relationships/hyperlink" Target="https://www.atih.sante.fr/recueil-national-ph-2025" TargetMode="External"/><Relationship Id="rIdopby8c1sursebuynzk_kb" Type="http://schemas.openxmlformats.org/officeDocument/2006/relationships/hyperlink" Target="https://www.legifrance.gouv.fr/jorf/id/JORFTEXT000054103861" TargetMode="External"/><Relationship Id="rId_xdny-bcdzb38nwzx41fr" Type="http://schemas.openxmlformats.org/officeDocument/2006/relationships/hyperlink" Target="https://handicap.gouv.fr/reforme-tarifaire-des-esms-serafin-ph-14e-reunion-du-comite-strategique" TargetMode="External"/><Relationship Id="rIdxzidt2odk7jtl0z08mcy5" Type="http://schemas.openxmlformats.org/officeDocument/2006/relationships/hyperlink" Target="https://www.legifrance.gouv.fr/jorf/id/JORFTEXT000054103861" TargetMode="External"/><Relationship Id="rIdn28cbphvhumfbytmxeey1" Type="http://schemas.openxmlformats.org/officeDocument/2006/relationships/hyperlink" Target="https://www.cnsa.fr/budget-et-financement/serafin-PH"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2026-09-23T06:08:23.881Z</dcterms:created>
  <dcterms:modified xsi:type="dcterms:W3CDTF">2026-09-23T06:08:23.883Z</dcterms:modified>
</cp:coreProperties>
</file>

<file path=docProps/custom.xml><?xml version="1.0" encoding="utf-8"?>
<Properties xmlns="http://schemas.openxmlformats.org/officeDocument/2006/custom-properties" xmlns:vt="http://schemas.openxmlformats.org/officeDocument/2006/docPropsVTypes"/>
</file>