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i w:val="false"/>
          <w:iCs w:val="false"/>
          <w:color w:val="1B3A6B"/>
          <w:sz w:val="52"/>
          <w:szCs w:val="52"/>
        </w:rPr>
        <w:t xml:space="preserve">Leçon Psychopathologie clinique n°09</w:t>
      </w:r>
    </w:p>
    <w:p>
      <w:pPr>
        <w:spacing w:after="100" w:before="200"/>
        <w:jc w:val="center"/>
      </w:pPr>
      <w:r>
        <w:rPr>
          <w:rFonts w:ascii="Times New Roman" w:cs="Times New Roman" w:eastAsia="Times New Roman" w:hAnsi="Times New Roman"/>
          <w:b/>
          <w:bCs/>
          <w:i w:val="false"/>
          <w:iCs w:val="false"/>
          <w:color w:val="1B3A6B"/>
          <w:sz w:val="52"/>
          <w:szCs w:val="52"/>
        </w:rPr>
        <w:t xml:space="preserve">Les troubles du neurodéveloppement : TSA, TDAH, TDI</w:t>
      </w:r>
    </w:p>
    <w:p>
      <w:pPr>
        <w:spacing w:after="60" w:before="60"/>
        <w:jc w:val="center"/>
      </w:pPr>
      <w:r>
        <w:rPr>
          <w:rFonts w:ascii="Times New Roman" w:cs="Times New Roman" w:eastAsia="Times New Roman" w:hAnsi="Times New Roman"/>
          <w:b w:val="false"/>
          <w:bCs w:val="false"/>
          <w:i/>
          <w:iCs/>
          <w:color w:val="555555"/>
          <w:sz w:val="20"/>
          <w:szCs w:val="20"/>
        </w:rPr>
        <w:t xml:space="preserve">10 août 2026  •  Module Fondamental — leçon 09 / 16</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la fin de cette leçon, vous saurez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Distinguer les trois principaux troubles du neurodéveloppement : TSA, TDAH, TDI.</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Identifier leurs critères diagnostiques selon la CIM-11 (OMS) et le DSM-5-TR.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Comprendre leurs mécanismes neurobiologiques, leurs comorbidités et leur impact fonctionnel à l'âge adulte.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Repérer les signes dans des vignettes cliniques et adapter l'accompagnement en conséquence.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 la leçon 08 a exploré les troubles de la personnalité — des structures psychiques stables dont les manifestations sont durables et envahissantes. Nous entrons maintenant dans une famille voisine mais distincte : les troubles du neurodéveloppement, dont les origines sont développementales et les signes présents dès l'enfance. Ces deux familles se croisent fréquemment en pratique (TSA + personnalité évitante, TDAH + traits borderline).</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Théorie (20 %) — Comprendre les troubles du neurodéveloppement</w:t>
      </w:r>
    </w:p>
    <w:p>
      <w:pPr>
        <w:spacing w:after="80" w:before="180"/>
      </w:pPr>
      <w:r>
        <w:rPr>
          <w:rFonts w:ascii="Times New Roman" w:cs="Times New Roman" w:eastAsia="Times New Roman" w:hAnsi="Times New Roman"/>
          <w:b/>
          <w:bCs/>
          <w:i w:val="false"/>
          <w:iCs w:val="false"/>
          <w:color w:val="1F2937"/>
          <w:sz w:val="26"/>
          <w:szCs w:val="26"/>
        </w:rPr>
        <w:t xml:space="preserve">1. Définition et cadre général</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troubles du neurodéveloppement forment, selon la littérature de référence, un groupe de conditions comportementales et cognitives complexes liées au développement atypique du cerveau. Ils apparaissent pendant l'enfance ou l'adolescence et persistent généralement à l'âge adulte, avec des profils d'intensité variables selon les individus et les contextes.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DSM-5-TR identifie six catégories principales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 du développement intellectuel (TDI)</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de la communication</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 du spectre de l'autisme (TSA)</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 déficit de l'attention / hyperactivité (TDAH)</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moteurs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des apprentissages spécifiques (dyslexie, dyscalculie…)</w:t>
      </w:r>
    </w:p>
    <w:p>
      <w:pPr>
        <w:spacing w:after="80" w:before="80"/>
      </w:pPr>
      <w:r>
        <w:rPr>
          <w:rFonts w:ascii="Times New Roman" w:cs="Times New Roman" w:eastAsia="Times New Roman" w:hAnsi="Times New Roman"/>
          <w:b w:val="false"/>
          <w:bCs w:val="false"/>
          <w:i w:val="false"/>
          <w:iCs w:val="false"/>
          <w:color w:val="1F2937"/>
          <w:sz w:val="22"/>
          <w:szCs w:val="22"/>
        </w:rPr>
        <w:t xml:space="preserve">Cette leçon se concentre sur les trois premières : TSA, TDAH et TDI — celles que vous rencontrerez le plus fréquemment en contexte médico-social.</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2. Trouble du spectre de l'autisme (TSA)</w:t>
      </w:r>
    </w:p>
    <w:p>
      <w:pPr>
        <w:spacing w:after="80" w:before="80"/>
      </w:pPr>
      <w:r>
        <w:rPr>
          <w:rFonts w:ascii="Times New Roman" w:cs="Times New Roman" w:eastAsia="Times New Roman" w:hAnsi="Times New Roman"/>
          <w:b w:val="false"/>
          <w:bCs w:val="false"/>
          <w:i w:val="false"/>
          <w:iCs w:val="false"/>
          <w:color w:val="1F2937"/>
          <w:sz w:val="22"/>
          <w:szCs w:val="22"/>
        </w:rPr>
        <w:t xml:space="preserve">Psycom décrit le TSA comme un trouble du neurodéveloppement caractérisé par des « difficultés dans les interactions avec les autres et la communication, ainsi que par des centres d'intérêts spécifiques ». Ces particularités apparaissent durant l'enfance et persistent à l'âge adulte.</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diagnostic repose sur une dyade (DSM-5-TR / CIM-11)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Domaine 1 — Communication sociale et interaction : déficits dans la réciprocité socio-émotionnelle, dans la communication non verbale (contact visuel, gestes, expressions), dans la construction et le maintien des relations.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Domaine 2 — Comportements répétitifs et intérêts restreints : stéréotypies motrices ou verbales, résistance marquée aux changements, intérêts très focalisés, hyper- ou hyposensibilités sensorielles.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DSM-5-TR utilise une approche dimensionnelle : le niveau de soutien requis varie selon les personnes et les domaines — certains individus nécessitent un accompagnement permanent, d'autres peuvent fonctionner de façon quasi-autonome. L'OMS estime qu'environ 1 enfant sur 100 reçoit un diagnostic de TSA, avec une tendance croissante liée à l'élargissement des critères diagnostiques et à l'amélioration de la détection.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Étiologie : la littérature scientifique s'accorde sur la forte héritabilité du TSA, sans identifier de cause unique — l'étiologie est multifactorielle (facteurs génétiques multiples, facteurs prénataux).</w:t>
      </w:r>
    </w:p>
    <w:p>
      <w:pPr>
        <w:spacing w:after="80" w:before="80"/>
      </w:pPr>
      <w:r>
        <w:rPr>
          <w:rFonts w:ascii="Times New Roman" w:cs="Times New Roman" w:eastAsia="Times New Roman" w:hAnsi="Times New Roman"/>
          <w:b w:val="false"/>
          <w:bCs w:val="false"/>
          <w:i w:val="false"/>
          <w:iCs w:val="false"/>
          <w:color w:val="1F2937"/>
          <w:sz w:val="22"/>
          <w:szCs w:val="22"/>
        </w:rPr>
        <w:t xml:space="preserve">Comorbidités fréquentes selon Psycom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anxieux : 20 % des personnes TSA (vs 15 % en population générale)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dépressifs : 11 % (vs 8 %)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TDAH associé : 28 % (vs 22 %)</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3. Trouble déficit de l'attention / hyperactivité (TDAH)</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TDAH est un trouble du neurodéveloppement caractérisé, selon la littérature scientifique (Wikipedia), par des symptômes d'inattention, d'hyperactivité, d'impulsivité et de dérégulation émotionnelle. Il se décline en trois présentations cliniques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Présentation à prédominance inattentive : difficultés à maintenir la concentration et à s'organiser.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Présentation à prédominance hyperactive-impulsive : agitation, impulsivité, difficulté à attendre son tour.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Présentation combinée : critères des deux tableaux réunis.</w:t>
      </w:r>
    </w:p>
    <w:p>
      <w:pPr>
        <w:spacing w:after="80" w:before="80"/>
      </w:pPr>
      <w:r>
        <w:rPr>
          <w:rFonts w:ascii="Times New Roman" w:cs="Times New Roman" w:eastAsia="Times New Roman" w:hAnsi="Times New Roman"/>
          <w:b w:val="false"/>
          <w:bCs w:val="false"/>
          <w:i w:val="false"/>
          <w:iCs w:val="false"/>
          <w:color w:val="1F2937"/>
          <w:sz w:val="22"/>
          <w:szCs w:val="22"/>
        </w:rPr>
        <w:t xml:space="preserve">Les symptômes apparaissent dans l'enfance et persistent à l'âge adulte chez la plupart des personnes concernées. Chez l'adulte, selon Psycom, on observe davantage de procrastination et de déficits des fonctions exécutives, parfois avec une hyperactivité motrice moins visible.</w:t>
      </w:r>
    </w:p>
    <w:p>
      <w:pPr>
        <w:spacing w:after="80" w:before="80"/>
      </w:pPr>
      <w:r>
        <w:rPr>
          <w:rFonts w:ascii="Times New Roman" w:cs="Times New Roman" w:eastAsia="Times New Roman" w:hAnsi="Times New Roman"/>
          <w:b w:val="false"/>
          <w:bCs w:val="false"/>
          <w:i w:val="false"/>
          <w:iCs w:val="false"/>
          <w:color w:val="1F2937"/>
          <w:sz w:val="22"/>
          <w:szCs w:val="22"/>
        </w:rPr>
        <w:t xml:space="preserve">Sur le plan neurobiologique, la littérature identifie une réduction du volume, de la connectivité fonctionnelle et de l'activation dans les régions cérébrales liées aux fonctions exécutives, ainsi qu'un fonctionnement réduit des systèmes noradrénergique et dopaminergique (synthèse, non citation directe). La composante génétique est substantielle (héritabilité estimée à 70–80 % selon Wikipedia).</w:t>
      </w:r>
    </w:p>
    <w:p>
      <w:pPr>
        <w:spacing w:after="80" w:before="80"/>
      </w:pPr>
      <w:r>
        <w:rPr>
          <w:rFonts w:ascii="Times New Roman" w:cs="Times New Roman" w:eastAsia="Times New Roman" w:hAnsi="Times New Roman"/>
          <w:b w:val="false"/>
          <w:bCs w:val="false"/>
          <w:i w:val="false"/>
          <w:iCs w:val="false"/>
          <w:color w:val="1F2937"/>
          <w:sz w:val="22"/>
          <w:szCs w:val="22"/>
        </w:rPr>
        <w:t xml:space="preserve">Impact fonctionnel à l'âge adulte selon Psycom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Instabilité professionnelle et accidents plus fréquents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Troubles du sommeil et risques addictifs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Difficultés relationnelles et problèmes de confiance en soi liés à la stigmatisation</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Comorbidités psychiatriques fréquentes : dépression, anxiété, troubles bipolaires</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4. Trouble du développement intellectuel (TDI)</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TDI est, selon la littérature de référence (Wikipedia), un trouble du neurodéveloppement généralisé caractérisé par une altération significative du fonctionnement intellectuel et adaptatif. Les trois critères diagnostiques (DSM-5 / CIM-11) sont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Fonctionnement intellectuel réduit : QI typiquement inférieur à 70.</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Déficits adaptatifs dans au moins deux domaines : communication, autonomie, compétences sociales, vie pratique.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Apparition développementale : signes présents durant l'enfance ou l'adolescence.</w:t>
      </w:r>
    </w:p>
    <w:p>
      <w:pPr>
        <w:spacing w:after="80" w:before="80"/>
      </w:pPr>
      <w:r>
        <w:rPr>
          <w:rFonts w:ascii="Times New Roman" w:cs="Times New Roman" w:eastAsia="Times New Roman" w:hAnsi="Times New Roman"/>
          <w:b w:val="false"/>
          <w:bCs w:val="false"/>
          <w:i w:val="false"/>
          <w:iCs w:val="false"/>
          <w:color w:val="1F2937"/>
          <w:sz w:val="22"/>
          <w:szCs w:val="22"/>
        </w:rPr>
        <w:t xml:space="preserve">Attention : le fonctionnement adaptatif prend désormais le pas sur le seul QI pour évaluer la sévérité et orienter l'accompagnement.</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Niveaux de sévérité (données Wikipedia)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Niveau</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Proportion</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Caractéristiques générales</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Léger</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75–90 % des cas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Autonomie partielle possible, soutien sur tâches complexes</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Modéré</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~10 % des cas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Soutien substantiel nécessaire dans la plupart des activités</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Sévère / Profond</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3–5 % des cas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Dépendance importante, soutien permanent requis</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Prévalence : 2–3 % de la population générale (données Wikipedia). L'étiologie est diverse : causes génétiques (syndrome de Down, X fragile), complications périnatales, infections prénatales, causes idiopathiques (30–50 % des cas).</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5. Comorbidités et chevauchements</w:t>
      </w:r>
    </w:p>
    <w:p>
      <w:pPr>
        <w:spacing w:after="80" w:before="80"/>
      </w:pPr>
      <w:r>
        <w:rPr>
          <w:rFonts w:ascii="Times New Roman" w:cs="Times New Roman" w:eastAsia="Times New Roman" w:hAnsi="Times New Roman"/>
          <w:b w:val="false"/>
          <w:bCs w:val="false"/>
          <w:i w:val="false"/>
          <w:iCs w:val="false"/>
          <w:color w:val="1F2937"/>
          <w:sz w:val="22"/>
          <w:szCs w:val="22"/>
        </w:rPr>
        <w:t xml:space="preserve">Ces trois troubles coexistent fréquemment. Le TSA et le TDAH partagent des déficits des fonctions exécutives ; le TDI peut s'accompagner de TSA ou de TDAH. La pratique clinique exige donc une lecture dimensionnelle et non catégorielle : repérer les profils fonctionnels plutôt que chercher un diagnostic exclusif.</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 Rappel déontologique : la compréhension de ces tableaux cliniques aide les professionnels à mieux observer, accompagner et orienter — le diagnostic reste un acte médical réservé aux médecins psychiatres et aux psychologues cliniciens habilités. Ces connaissances ne remplacent pas une évaluation spécialisée.</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Pratique (80 %) — Trois exercices progressifs</w:t>
      </w:r>
    </w:p>
    <w:p>
      <w:pPr>
        <w:spacing w:after="80" w:before="180"/>
      </w:pPr>
      <w:r>
        <w:rPr>
          <w:rFonts w:ascii="Times New Roman" w:cs="Times New Roman" w:eastAsia="Times New Roman" w:hAnsi="Times New Roman"/>
          <w:b/>
          <w:bCs/>
          <w:i w:val="false"/>
          <w:iCs w:val="false"/>
          <w:color w:val="1F2937"/>
          <w:sz w:val="26"/>
          <w:szCs w:val="26"/>
        </w:rPr>
        <w:t xml:space="preserve">Exercice 1 — Repérer les critères TSA dans une vignette clinique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Prenez le temps de lire la vignette, puis listez pour chaque signe observé à quel domaine de la dyade diagnostique TSA il appartient, avant de regarder le corrigé.</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Samir, 28 ans, est accompagné en foyer d'hébergement depuis 3 ans. Il parle peu aux autres résidents, ne répond pas aux salutations, mais peut développer pendant des heures le fonctionnement des moteurs diesel. Il suit un rituel alimentaire strict : même place, même ordre des plats, mêmes aliments. Le moindre changement de routine provoque une agitation intense. Il a des mouvements répétitifs des mains lorsqu'il est concentré ou stressé. Il évite le contact visuel et semble peu sensible au bruit de fond, mais réagit violemment à certaines fréquences sonores.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Identifiez et nommez les signes appartenant au Domaine 1 (communication sociale).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Identifiez et nommez les signes appartenant au Domaine 2 (comportements répétitifs, intérêts restreints, sensorialité).</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Corrigé — Exercice 1</w:t>
      </w:r>
    </w:p>
    <w:p>
      <w:pPr>
        <w:spacing w:after="80" w:before="80"/>
      </w:pPr>
      <w:r>
        <w:rPr>
          <w:rFonts w:ascii="Times New Roman" w:cs="Times New Roman" w:eastAsia="Times New Roman" w:hAnsi="Times New Roman"/>
          <w:b w:val="false"/>
          <w:bCs w:val="false"/>
          <w:i w:val="false"/>
          <w:iCs w:val="false"/>
          <w:color w:val="1F2937"/>
          <w:sz w:val="22"/>
          <w:szCs w:val="22"/>
        </w:rPr>
        <w:t xml:space="preserve">Domaine 1 — Communication sociale et interaction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Peu de langage à visée sociale (parle peu aux autres) → déficit de la réciprocité socio-émotionnelle.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Absence de réponse aux salutations → déficit de réciprocité sociale, engagement minimal.</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Évitement du contact visuel → communication non verbale atypique.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Absence apparente d'intérêt pour les relations ordinaires.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Domaine 2 — Comportements répétitifs, intérêts restreints, sensorialité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Intérêt très focalisé et intense sur les moteurs diesel → intérêt circonscrit et prégnant.</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Rituel alimentaire immuable (même place, même ordre, mêmes aliments) → besoin de prévisibilité et de routines.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Agitation intense au moindre changement → résistance marquée aux changements.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Mouvements répétitifs des mains lors de concentration ou de stress → stéréotypies motrices (stimming).</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Hyposensibilité au bruit de fond + hypersensibilité à certaines fréquences → profil sensoriel atypique.</w:t>
      </w:r>
    </w:p>
    <w:p>
      <w:r>
        <w:t xml:space="preserve"/>
      </w:r>
    </w:p>
    <w:p>
      <w:pPr>
        <w:spacing w:after="80" w:before="80"/>
      </w:pPr>
      <w:r>
        <w:rPr>
          <w:rFonts w:ascii="Times New Roman" w:cs="Times New Roman" w:eastAsia="Times New Roman" w:hAnsi="Times New Roman"/>
          <w:b w:val="false"/>
          <w:bCs w:val="false"/>
          <w:i/>
          <w:iCs/>
          <w:color w:val="555555"/>
          <w:sz w:val="20"/>
          <w:szCs w:val="20"/>
        </w:rPr>
        <w:t xml:space="preserve">Cohérence avec la théorie : les deux domaines de la dyade sont bien représentés, avec plusieurs signes dans chacun. C'est une observation clinique — non un diagnostic.</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Exercice 2 — Différencier TSA et TDAH (tableau comparatif)</w:t>
      </w:r>
    </w:p>
    <w:p>
      <w:pPr>
        <w:spacing w:after="80" w:before="80"/>
      </w:pPr>
      <w:r>
        <w:rPr>
          <w:rFonts w:ascii="Times New Roman" w:cs="Times New Roman" w:eastAsia="Times New Roman" w:hAnsi="Times New Roman"/>
          <w:b w:val="false"/>
          <w:bCs w:val="false"/>
          <w:i w:val="false"/>
          <w:iCs w:val="false"/>
          <w:color w:val="1F2937"/>
          <w:sz w:val="22"/>
          <w:szCs w:val="22"/>
        </w:rPr>
        <w:t xml:space="preserve">Avant de regarder le tableau, essayez de remplir mentalement chaque cellule à partir de ce que vous avez retenu de la partie théorie. Où les deux troubles se croisent-ils ? En quoi diffèrent-ils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Dimension</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TSA</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TDAH</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Difficulté d'attention</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Sélective : forte concentration sur les intérêts propres, très réduite ailleurs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Généralisée : fluctuante sur l'ensemble des tâches, difficile à soutenir</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Interaction sociale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Déficit de réciprocité, peu d'intérêt spontané pour l'autre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Souvent présente mais maladroite, parfois envahissante ou impulsive</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Comportements répétitifs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Critère diagnostique central (stéréotypies, rituels, résistance au changement)</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Absent comme critère diagnostique</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Sensorialité</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Fréquemment atypique : hypo- ou hypersensibilités sensorielles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Non caractéristique du trouble</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Impulsivité</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Rare comme symptôme central</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Fréquente, trait central (impulsivité motrice et verbale)</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Dérégulation émotionnelle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Présente, souvent liée aux changements ou surcharges sensorielles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Fréquente, liée aux fonctions exécutives</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Origine neurobiologique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Multifactorielle, forte héritabilité</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Dopaminergique/noradrénergique, forte héritabilité (70–80 %)</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Comorbidité croisée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TDAH associé fréquemment (~28 % selon Psycom)</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TSA peut être associé</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Point de vigilance : les deux troubles peuvent coexister. En contexte ESSMS, ne pas conclure à l'absence de l'un parce que l'autre est présent — demander une évaluation pluridisciplinaire si le doute persiste.</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Exercice 3 — Évaluer le niveau de soutien (TDI)</w:t>
      </w:r>
    </w:p>
    <w:p>
      <w:pPr>
        <w:spacing w:after="80" w:before="80"/>
      </w:pPr>
      <w:r>
        <w:rPr>
          <w:rFonts w:ascii="Times New Roman" w:cs="Times New Roman" w:eastAsia="Times New Roman" w:hAnsi="Times New Roman"/>
          <w:b w:val="false"/>
          <w:bCs w:val="false"/>
          <w:i w:val="false"/>
          <w:iCs w:val="false"/>
          <w:color w:val="1F2937"/>
          <w:sz w:val="22"/>
          <w:szCs w:val="22"/>
        </w:rPr>
        <w:t xml:space="preserve">Lisez la vignette, puis répondez aux questions avant de consulter le corrigé.</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Doriane, 35 ans, vit en foyer de vie. Elle lit des mots simples, fait des achats avec une liste préparée à l'avance, trie le courrier avec de l'aide. Elle gère ses affaires personnelles avec des rappels réguliers et peut se déplacer seule dans un périmètre connu. Elle travaille en ESAT à mi-temps avec un encadrement rapproché. Lors des réunions de groupe, elle participe mais suit difficilement les discussions complexes.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À quel niveau de sévérité de TDI correspond le profil de Doriane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Justifiez à partir des trois critères diagnostiques (fonctionnement intellectuel, adaptatif, apparition développementale).</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Corrigé — Exercice 3</w:t>
      </w:r>
    </w:p>
    <w:p>
      <w:pPr>
        <w:spacing w:after="80" w:before="80"/>
      </w:pPr>
      <w:r>
        <w:rPr>
          <w:rFonts w:ascii="Times New Roman" w:cs="Times New Roman" w:eastAsia="Times New Roman" w:hAnsi="Times New Roman"/>
          <w:b w:val="false"/>
          <w:bCs w:val="false"/>
          <w:i w:val="false"/>
          <w:iCs w:val="false"/>
          <w:color w:val="1F2937"/>
          <w:sz w:val="22"/>
          <w:szCs w:val="22"/>
        </w:rPr>
        <w:t xml:space="preserve">Niveau probable : TDI léger (représente 75–90 % des cas selon les données de référence).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Justification sur les trois critères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Fonctionnement intellectuel : réduit (lecture partielle, difficultés de compréhension de discussions complexes). Le QI est probablement inférieur à 70, mais en l'absence de bilan neuropsychologique dans la vignette, c'est l'observation fonctionnelle qui prime — conformément aux recommandations actuelles qui accordent la priorité au fonctionnement adaptatif sur le score de QI seul.</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Fonctionnement adaptatif : autonomie partielle atteinte dans les domaines pratiques (achats avec liste, déplacements connus, tri du courrier avec aide) et professionnels (ESAT mi-temps avec encadrement rapproché). Les déficits sont présents mais non totaux : Doriane compense par des stratégies et un environnement aménagé — caractéristique du niveau léger.</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Apparition développementale : implicite dans la vignette (accompagnement en foyer de vie depuis l'âge adulte, parcours ESAT) — profil ancré dans l'histoire développementale.</w:t>
      </w:r>
    </w:p>
    <w:p>
      <w:r>
        <w:t xml:space="preserve"/>
      </w:r>
    </w:p>
    <w:p>
      <w:pPr>
        <w:spacing w:after="80" w:before="80"/>
      </w:pPr>
      <w:r>
        <w:rPr>
          <w:rFonts w:ascii="Times New Roman" w:cs="Times New Roman" w:eastAsia="Times New Roman" w:hAnsi="Times New Roman"/>
          <w:b w:val="false"/>
          <w:bCs w:val="false"/>
          <w:i/>
          <w:iCs/>
          <w:color w:val="555555"/>
          <w:sz w:val="20"/>
          <w:szCs w:val="20"/>
        </w:rPr>
        <w:t xml:space="preserve">Point de méthode : le TDI léger ne signifie pas « peu de difficultés » — il signifie que la personne peut, avec un soutien adapté, atteindre un niveau d'autonomie partielle. Ne pas sous-estimer les besoins d'accompagnement.</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Challenge — Vignette complexe : comorbidité TSA + TDAH</w:t>
      </w:r>
    </w:p>
    <w:p>
      <w:pPr>
        <w:spacing w:after="80" w:before="80"/>
      </w:pPr>
      <w:r>
        <w:rPr>
          <w:rFonts w:ascii="Times New Roman" w:cs="Times New Roman" w:eastAsia="Times New Roman" w:hAnsi="Times New Roman"/>
          <w:b w:val="false"/>
          <w:bCs w:val="false"/>
          <w:i w:val="false"/>
          <w:iCs w:val="false"/>
          <w:color w:val="1F2937"/>
          <w:sz w:val="22"/>
          <w:szCs w:val="22"/>
        </w:rPr>
        <w:t xml:space="preserve">Ce challenge mobilise l'ensemble de la leçon. Prenez le temps d'analyser avant de regarder les éléments de réponse.</w:t>
      </w:r>
    </w:p>
    <w:p>
      <w:r>
        <w:t xml:space="preserve"/>
      </w:r>
    </w:p>
    <w:p>
      <w:pPr>
        <w:spacing w:after="100" w:before="100"/>
        <w:ind w:left="720" w:right="720"/>
      </w:pPr>
      <w:r>
        <w:rPr>
          <w:rFonts w:ascii="Times New Roman" w:cs="Times New Roman" w:eastAsia="Times New Roman" w:hAnsi="Times New Roman"/>
          <w:b w:val="false"/>
          <w:bCs w:val="false"/>
          <w:i/>
          <w:iCs/>
          <w:color w:val="1B3A6B"/>
          <w:sz w:val="22"/>
          <w:szCs w:val="22"/>
        </w:rPr>
        <w:t xml:space="preserve">Théo, 22 ans, vient d'intégrer le foyer. Son bilan pluridisciplinaire mentionne un TSA associé à un TDAH. En pratique, vous observez : des rituels de rangement très précis (meubles, affaires personnelles), une agitation intense si quelqu'un touche à ses affaires, un contact social limité. Mais aussi : une incapacité à terminer ses activités, des oublis répétés d'hygiène, des comportements impulsifs (sortir brusquement d'une pièce, couper la parole), une grande variabilité selon les journées.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Quels signes relèvent plutôt du TSA ? Du TDAH ? Lesquels pourraient appartenir aux deux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Comment adapter l'accompagnement quotidien pour tenir compte des deux dimensions simultanément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Si vous deviez rédiger une demande d'évaluation complémentaire, quels professionnels solliciteriez-vous et pourquoi ?</w:t>
      </w:r>
    </w:p>
    <w:p>
      <w:r>
        <w:t xml:space="preserve"/>
      </w:r>
    </w:p>
    <w:p>
      <w:pPr>
        <w:spacing w:after="80" w:before="180"/>
      </w:pPr>
      <w:r>
        <w:rPr>
          <w:rFonts w:ascii="Times New Roman" w:cs="Times New Roman" w:eastAsia="Times New Roman" w:hAnsi="Times New Roman"/>
          <w:b/>
          <w:bCs/>
          <w:i w:val="false"/>
          <w:iCs w:val="false"/>
          <w:color w:val="1F2937"/>
          <w:sz w:val="26"/>
          <w:szCs w:val="26"/>
        </w:rPr>
        <w:t xml:space="preserve">Éléments de réponse — Challenge</w:t>
      </w:r>
    </w:p>
    <w:p>
      <w:pPr>
        <w:spacing w:after="80" w:before="80"/>
      </w:pPr>
      <w:r>
        <w:rPr>
          <w:rFonts w:ascii="Times New Roman" w:cs="Times New Roman" w:eastAsia="Times New Roman" w:hAnsi="Times New Roman"/>
          <w:b w:val="false"/>
          <w:bCs w:val="false"/>
          <w:i w:val="false"/>
          <w:iCs w:val="false"/>
          <w:color w:val="1F2937"/>
          <w:sz w:val="22"/>
          <w:szCs w:val="22"/>
        </w:rPr>
        <w:t xml:space="preserve">Ventilation des signes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Signe observé</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Plutôt TSA</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Plutôt TDAH</w:t>
            </w:r>
          </w:p>
        </w:tc>
        <w:tc>
          <w:tcPr>
            <w:shd w:fill="1B3A6B"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color w:val="FFFFFF"/>
                <w:sz w:val="18"/>
                <w:szCs w:val="18"/>
              </w:rPr>
              <w:t xml:space="preserve">Les deux</w:t>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Rituels de rangement précis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Agitation si objet déplacé</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(résistance au changement)</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Contact social limité</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Incapacité à terminer les activités</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(inattention)</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Oublis répétés d'hygiène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(fonctions exécutives)</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Comportements impulsifs (sortir, couper)</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r>
      <w:tr>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Grande variabilité journalière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w:t>
            </w:r>
          </w:p>
        </w:tc>
        <w:tc>
          <w:tcPr>
            <w:shd w:fill="FFFFFF"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(surcharge sensorielle TSA possible aussi)</w:t>
            </w:r>
          </w:p>
        </w:tc>
      </w:tr>
      <w:tr>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Agitation intense (émotion forte)</w:t>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w:r>
          </w:p>
        </w:tc>
        <w:tc>
          <w:tcPr>
            <w:shd w:fill="EEF2F7" w:val="clear"/>
            <w:tcMar>
              <w:top w:type="dxa" w:w="50"/>
              <w:left w:type="dxa" w:w="80"/>
              <w:bottom w:type="dxa" w:w="50"/>
              <w:right w:type="dxa" w:w="80"/>
            </w:tcMar>
          </w:tcPr>
          <w:p>
            <w:r>
              <w:rPr>
                <w:rFonts w:ascii="Times New Roman" w:cs="Times New Roman" w:eastAsia="Times New Roman" w:hAnsi="Times New Roman"/>
                <w:b w:val="false"/>
                <w:bCs w:val="false"/>
                <w:i w:val="false"/>
                <w:iCs w:val="false"/>
                <w:color w:val="1F2937"/>
                <w:sz w:val="18"/>
                <w:szCs w:val="18"/>
              </w:rPr>
              <w:t xml:space="preserve">✓ (dérégulation des deux)</w:t>
            </w:r>
          </w:p>
        </w:tc>
      </w:tr>
    </w:tbl>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Adaptation de l'accompagnement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Stabiliser l'environnement physique et les routines (versant TSA) : place fixe, rangement prévisible, transitions annoncées à l'avance avec un support visuel.</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Fractionner les activités en petites tâches courtes avec rappels visuels (versant TDAH) : check-lists, minuteries, aide à l'organisation étape par étape.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Anticiper les moments de dérégulation émotionnelle : proposer des espaces de retrait volontaire, des signaux convenus avec Théo lui-même.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Ne pas superposer les exigences : lors des moments de grande variabilité (mauvaises journées), réduire les demandes et maintenir le lien sans pression.</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Professionnels à solliciter dans une demande d'évaluation complémentaire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Médecin psychiatre : réévaluation diagnostique, ajustement médicamenteux éventuel (méthylphénidate dans le TDAH, à évaluer soigneusement en contexte TSA).</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Psychologue clinicien spécialisé en neuropsychologie : bilan pour préciser le profil cognitif (fonctions exécutives, mémoire de travail, flexibilité mentale).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Ergothérapeute : aménagement de l'environnement et des activités quotidiennes en tenant compte du profil sensoriel.</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Pont pro — Pertinence en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En foyer d'hébergement accompagnant des adultes en situation de handicap mental et psychique, le public relève fréquemment de ces trois troubles — souvent en combinaison. Comprendre leurs profils permet :</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De différencier un comportement difficile lié au trouble (désorganisation, agitation, résistance au changement) d'une opposition ou d'un manque de coopération.</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D'adapter les modalités d'accompagnement sans attendre un diagnostic formel : structurer l'environnement, fractionner les tâches, anticiper les transitions, communiquer avec des supports visuels.</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De formuler des demandes d'évaluation spécialisées argumentées (CRA, psychiatre, neuropsychologue).</w:t>
      </w:r>
    </w:p>
    <w:p>
      <w:pPr>
        <w:pStyle w:val="ListParagraph"/>
        <w:numPr>
          <w:ilvl w:val="0"/>
          <w:numId w:val="1"/>
        </w:numPr>
        <w:spacing w:after="50" w:before="50"/>
      </w:pPr>
      <w:r>
        <w:rPr>
          <w:rFonts w:ascii="Times New Roman" w:cs="Times New Roman" w:eastAsia="Times New Roman" w:hAnsi="Times New Roman"/>
          <w:b w:val="false"/>
          <w:bCs w:val="false"/>
          <w:i w:val="false"/>
          <w:iCs w:val="false"/>
          <w:color w:val="1F2937"/>
          <w:sz w:val="22"/>
          <w:szCs w:val="22"/>
        </w:rPr>
        <w:t xml:space="preserve">D'anticiper les attendus HAS : la capacité à lire les profils fonctionnels et à les traduire en adaptations concrètes est un indicateur fort des évaluations externes.</w:t>
      </w:r>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Ressources cliquables — Pour approfondir</w:t>
      </w:r>
    </w:p>
    <w:p>
      <w:pPr>
        <w:spacing w:after="80" w:before="80"/>
      </w:pPr>
      <w:r>
        <w:rPr>
          <w:rFonts w:ascii="Times New Roman" w:cs="Times New Roman" w:eastAsia="Times New Roman" w:hAnsi="Times New Roman"/>
          <w:b w:val="false"/>
          <w:bCs w:val="false"/>
          <w:i/>
          <w:iCs/>
          <w:color w:val="555555"/>
          <w:sz w:val="20"/>
          <w:szCs w:val="20"/>
        </w:rPr>
        <w:t xml:space="preserve">Toutes les URLs ci-dessous ont été testées au cours de cette session (code HTTP 200).</w:t>
      </w:r>
    </w:p>
    <w:p>
      <w:r>
        <w:t xml:space="preserve"/>
      </w:r>
    </w:p>
    <w:p>
      <w:pPr>
        <w:spacing w:after="40" w:before="60"/>
      </w:pPr>
      <w:hyperlink w:history="1" r:id="rIdheqaguwmg4unp33vi4j2p">
        <w:r>
          <w:rPr>
            <w:rFonts w:ascii="Times New Roman" w:cs="Times New Roman" w:eastAsia="Times New Roman" w:hAnsi="Times New Roman"/>
            <w:color w:val="1155CC"/>
            <w:sz w:val="22"/>
            <w:szCs w:val="22"/>
            <w:u w:val="single"/>
          </w:rPr>
          <w:t xml:space="preserve">Psycom — La santé mentale avec l'autisme (TSA)</w:t>
        </w:r>
      </w:hyperlink>
    </w:p>
    <w:p>
      <w:pPr>
        <w:spacing w:after="40" w:before="60"/>
      </w:pPr>
      <w:hyperlink w:history="1" r:id="rIdhdbnnkhttkp5udlhkf7ua">
        <w:r>
          <w:rPr>
            <w:rFonts w:ascii="Times New Roman" w:cs="Times New Roman" w:eastAsia="Times New Roman" w:hAnsi="Times New Roman"/>
            <w:color w:val="1155CC"/>
            <w:sz w:val="22"/>
            <w:szCs w:val="22"/>
            <w:u w:val="single"/>
          </w:rPr>
          <w:t xml:space="preserve">Psycom — La santé mentale avec un TDAH</w:t>
        </w:r>
      </w:hyperlink>
    </w:p>
    <w:p>
      <w:pPr>
        <w:spacing w:after="40" w:before="60"/>
      </w:pPr>
      <w:hyperlink w:history="1" r:id="rIdxxkav4ngxzp12hdrrmabr">
        <w:r>
          <w:rPr>
            <w:rFonts w:ascii="Times New Roman" w:cs="Times New Roman" w:eastAsia="Times New Roman" w:hAnsi="Times New Roman"/>
            <w:color w:val="1155CC"/>
            <w:sz w:val="22"/>
            <w:szCs w:val="22"/>
            <w:u w:val="single"/>
          </w:rPr>
          <w:t xml:space="preserve">Psycom — Troubles du neurodéveloppement (portail)</w:t>
        </w:r>
      </w:hyperlink>
    </w:p>
    <w:p>
      <w:pPr>
        <w:spacing w:after="40" w:before="60"/>
      </w:pPr>
      <w:hyperlink w:history="1" r:id="rIdexgcwe37cx-akxy54jt6v">
        <w:r>
          <w:rPr>
            <w:rFonts w:ascii="Times New Roman" w:cs="Times New Roman" w:eastAsia="Times New Roman" w:hAnsi="Times New Roman"/>
            <w:color w:val="1155CC"/>
            <w:sz w:val="22"/>
            <w:szCs w:val="22"/>
            <w:u w:val="single"/>
          </w:rPr>
          <w:t xml:space="preserve">HAS — Troubles du spectre de l'autisme (TSA) : recommandations</w:t>
        </w:r>
      </w:hyperlink>
    </w:p>
    <w:p>
      <w:pPr>
        <w:spacing w:after="40" w:before="60"/>
      </w:pPr>
      <w:hyperlink w:history="1" r:id="rId0ojzrf-drxcphs6mbu8fh">
        <w:r>
          <w:rPr>
            <w:rFonts w:ascii="Times New Roman" w:cs="Times New Roman" w:eastAsia="Times New Roman" w:hAnsi="Times New Roman"/>
            <w:color w:val="1155CC"/>
            <w:sz w:val="22"/>
            <w:szCs w:val="22"/>
            <w:u w:val="single"/>
          </w:rPr>
          <w:t xml:space="preserve">Wikipedia — Neurodevelopmental disorder (vue d'ensemble)</w:t>
        </w:r>
      </w:hyperlink>
    </w:p>
    <w:p>
      <w:pPr>
        <w:spacing w:after="40" w:before="60"/>
      </w:pPr>
      <w:hyperlink w:history="1" r:id="rIdfxpou85nh23bhfu0seely">
        <w:r>
          <w:rPr>
            <w:rFonts w:ascii="Times New Roman" w:cs="Times New Roman" w:eastAsia="Times New Roman" w:hAnsi="Times New Roman"/>
            <w:color w:val="1155CC"/>
            <w:sz w:val="22"/>
            <w:szCs w:val="22"/>
            <w:u w:val="single"/>
          </w:rPr>
          <w:t xml:space="preserve">Wikipedia — Autism spectrum disorder (TSA)</w:t>
        </w:r>
      </w:hyperlink>
    </w:p>
    <w:p>
      <w:pPr>
        <w:spacing w:after="40" w:before="60"/>
      </w:pPr>
      <w:hyperlink w:history="1" r:id="rIdnkmqfkohpphbhad7n6okg">
        <w:r>
          <w:rPr>
            <w:rFonts w:ascii="Times New Roman" w:cs="Times New Roman" w:eastAsia="Times New Roman" w:hAnsi="Times New Roman"/>
            <w:color w:val="1155CC"/>
            <w:sz w:val="22"/>
            <w:szCs w:val="22"/>
            <w:u w:val="single"/>
          </w:rPr>
          <w:t xml:space="preserve">Wikipedia — Attention deficit hyperactivity disorder (TDAH)</w:t>
        </w:r>
      </w:hyperlink>
    </w:p>
    <w:p>
      <w:pPr>
        <w:spacing w:after="40" w:before="60"/>
      </w:pPr>
      <w:hyperlink w:history="1" r:id="rIdzagogrrx-tp6qq_mmrgr6">
        <w:r>
          <w:rPr>
            <w:rFonts w:ascii="Times New Roman" w:cs="Times New Roman" w:eastAsia="Times New Roman" w:hAnsi="Times New Roman"/>
            <w:color w:val="1155CC"/>
            <w:sz w:val="22"/>
            <w:szCs w:val="22"/>
            <w:u w:val="single"/>
          </w:rPr>
          <w:t xml:space="preserve">Wikipedia — Intellectual disability (TDI)</w:t>
        </w:r>
      </w:hyperlink>
    </w:p>
    <w:p>
      <w:pPr>
        <w:spacing w:after="40" w:before="60"/>
      </w:pPr>
      <w:hyperlink w:history="1" r:id="rIdlrwmxehpmzyozetxy7lq7">
        <w:r>
          <w:rPr>
            <w:rFonts w:ascii="Times New Roman" w:cs="Times New Roman" w:eastAsia="Times New Roman" w:hAnsi="Times New Roman"/>
            <w:color w:val="1155CC"/>
            <w:sz w:val="22"/>
            <w:szCs w:val="22"/>
            <w:u w:val="single"/>
          </w:rPr>
          <w:t xml:space="preserve">OMS — CIM-11 : classification internationale des maladies (2024)</w:t>
        </w:r>
      </w:hyperlink>
    </w:p>
    <w:p>
      <w:r>
        <w:t xml:space="preserve"/>
      </w:r>
    </w:p>
    <w:p>
      <w:pPr>
        <w:spacing w:after="120" w:before="280"/>
      </w:pPr>
      <w:r>
        <w:rPr>
          <w:rFonts w:ascii="Times New Roman" w:cs="Times New Roman" w:eastAsia="Times New Roman" w:hAnsi="Times New Roman"/>
          <w:b/>
          <w:bCs/>
          <w:i w:val="false"/>
          <w:iCs w:val="false"/>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n°10 — Psychotraumatisme et troubles liés au stress : TSPT, stress aigu, dissociation.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Au programme : les mécanismes neurobiologiques du trauma, les critères diagnostiques du TSPT selon CIM-11 / DSM-5-TR, la dissociation comme réponse adaptative, les approches thérapeutiques centrées sur le trauma (EMDR, thérapies d'exposition, psychoéducation), et les particularités du trauma chez les personnes en situation de handicap.</w:t>
      </w:r>
    </w:p>
    <w:p>
      <w:r>
        <w:t xml:space="preserve"/>
      </w:r>
    </w:p>
    <w:p>
      <w:pPr>
        <w:spacing w:before="300"/>
        <w:jc w:val="center"/>
      </w:pPr>
      <w:r>
        <w:rPr>
          <w:rFonts w:ascii="Times New Roman" w:cs="Times New Roman" w:eastAsia="Times New Roman" w:hAnsi="Times New Roman"/>
          <w:b w:val="false"/>
          <w:bCs w:val="false"/>
          <w:i/>
          <w:iCs/>
          <w:color w:val="888888"/>
          <w:sz w:val="18"/>
          <w:szCs w:val="18"/>
        </w:rPr>
        <w:t xml:space="preserve">Parcours Psychopathologie clinique  •  Leçon 09 / 16  •  10 août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eqaguwmg4unp33vi4j2p" Type="http://schemas.openxmlformats.org/officeDocument/2006/relationships/hyperlink" Target="https://www.psycom.org/sinformer/la-sante-mentale/avec-un-trouble-du-neurodeveloppement/la-sante-mentale-avec-lautisme/" TargetMode="External"/><Relationship Id="rIdhdbnnkhttkp5udlhkf7ua" Type="http://schemas.openxmlformats.org/officeDocument/2006/relationships/hyperlink" Target="https://www.psycom.org/sinformer/la-sante-mentale/avec-un-trouble-du-neurodeveloppement/la-sante-mentale-avec-un-tdah/" TargetMode="External"/><Relationship Id="rIdxxkav4ngxzp12hdrrmabr" Type="http://schemas.openxmlformats.org/officeDocument/2006/relationships/hyperlink" Target="https://www.psycom.org/sinformer/la-sante-mentale/avec-un-trouble-du-neurodeveloppement/" TargetMode="External"/><Relationship Id="rIdexgcwe37cx-akxy54jt6v" Type="http://schemas.openxmlformats.org/officeDocument/2006/relationships/hyperlink" Target="https://www.has-sante.fr/jcms/c_1095166/fr/troubles-du-spectre-de-l-autisme-tsa" TargetMode="External"/><Relationship Id="rId0ojzrf-drxcphs6mbu8fh" Type="http://schemas.openxmlformats.org/officeDocument/2006/relationships/hyperlink" Target="https://en.wikipedia.org/wiki/Neurodevelopmental_disorder" TargetMode="External"/><Relationship Id="rIdfxpou85nh23bhfu0seely" Type="http://schemas.openxmlformats.org/officeDocument/2006/relationships/hyperlink" Target="https://en.wikipedia.org/wiki/Autism_spectrum_disorder" TargetMode="External"/><Relationship Id="rIdnkmqfkohpphbhad7n6okg" Type="http://schemas.openxmlformats.org/officeDocument/2006/relationships/hyperlink" Target="https://en.wikipedia.org/wiki/Attention_deficit_hyperactivity_disorder" TargetMode="External"/><Relationship Id="rIdzagogrrx-tp6qq_mmrgr6" Type="http://schemas.openxmlformats.org/officeDocument/2006/relationships/hyperlink" Target="https://en.wikipedia.org/wiki/Intellectual_disability" TargetMode="External"/><Relationship Id="rIdlrwmxehpmzyozetxy7lq7" Type="http://schemas.openxmlformats.org/officeDocument/2006/relationships/hyperlink" Target="https://icd.who.int/browse/2024-01/mms/en"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2026-08-10T06:11:06.025Z</dcterms:created>
  <dcterms:modified xsi:type="dcterms:W3CDTF">2026-08-10T06:11:06.043Z</dcterms:modified>
</cp:coreProperties>
</file>

<file path=docProps/custom.xml><?xml version="1.0" encoding="utf-8"?>
<Properties xmlns="http://schemas.openxmlformats.org/officeDocument/2006/custom-properties" xmlns:vt="http://schemas.openxmlformats.org/officeDocument/2006/docPropsVTypes"/>
</file>