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color w:val="1B3A6B"/>
          <w:sz w:val="52"/>
          <w:szCs w:val="52"/>
        </w:rPr>
        <w:t xml:space="preserve">Leçon Placement financier n°10</w:t>
      </w:r>
    </w:p>
    <w:p>
      <w:pPr>
        <w:spacing w:after="200" w:before="200"/>
        <w:jc w:val="center"/>
      </w:pPr>
      <w:r>
        <w:rPr>
          <w:rFonts w:ascii="Times New Roman" w:cs="Times New Roman" w:eastAsia="Times New Roman" w:hAnsi="Times New Roman"/>
          <w:b/>
          <w:bCs/>
          <w:color w:val="1B3A6B"/>
          <w:sz w:val="52"/>
          <w:szCs w:val="52"/>
        </w:rPr>
        <w:t xml:space="preserve">Fiscalité des revenus du capital</w:t>
      </w:r>
    </w:p>
    <w:p>
      <w:pPr>
        <w:spacing w:after="200" w:before="200"/>
        <w:jc w:val="center"/>
      </w:pPr>
      <w:r>
        <w:rPr>
          <w:rFonts w:ascii="Times New Roman" w:cs="Times New Roman" w:eastAsia="Times New Roman" w:hAnsi="Times New Roman"/>
          <w:b/>
          <w:bCs/>
          <w:color w:val="1B3A6B"/>
          <w:sz w:val="52"/>
          <w:szCs w:val="52"/>
        </w:rPr>
        <w:t xml:space="preserve">PFU, barème progressif, prélèvements sociaux</w:t>
      </w:r>
    </w:p>
    <w:p>
      <w:pPr>
        <w:spacing w:after="80" w:before="80"/>
      </w:pPr>
      <w:r>
        <w:t xml:space="preserve"/>
      </w:r>
    </w:p>
    <w:p>
      <w:pPr>
        <w:spacing w:after="240" w:before="60"/>
        <w:jc w:val="center"/>
      </w:pPr>
      <w:r>
        <w:rPr>
          <w:rFonts w:ascii="Times New Roman" w:cs="Times New Roman" w:eastAsia="Times New Roman" w:hAnsi="Times New Roman"/>
          <w:color w:val="1F2937"/>
          <w:sz w:val="22"/>
          <w:szCs w:val="22"/>
        </w:rPr>
        <w:t xml:space="preserve">Date : 15 août 2026  ·  </w:t>
      </w:r>
      <w:r>
        <w:rPr>
          <w:rFonts w:ascii="Times New Roman" w:cs="Times New Roman" w:eastAsia="Times New Roman" w:hAnsi="Times New Roman"/>
          <w:i/>
          <w:iCs/>
          <w:color w:val="1B3A6B"/>
          <w:sz w:val="22"/>
          <w:szCs w:val="22"/>
        </w:rPr>
        <w:t xml:space="preserve">Leçon 10 / 20  ·  Parcours Placement financier (éducation)</w:t>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la fin de cette leçon, vous serez capable 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le Prélèvement Forfaitaire Unique (PFU) de l'option pour le barème progressif de l'impôt sur le revenu</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la composition des prélèvements sociaux en vigueur en 2026 (18,6 %)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produits et enveloppes fiscalement avantageux (PEA, assurance-vie &gt; 8 ans, Livret A…)</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Calculer, dans un cas simple, l'imposition nette selon chaque régime, et savoir quelles questions poser à un professionnel agréé pour choisir</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Lien avec la leçon précédente (n°9 — Les frais et leur impact sur le long terme) : on a vu que les frais érodent le rendement brut de façon invisible et cumulative. La fiscalité est le second levier d'érosion « silencieuse » du rendement réel. Les comprendre permet d'arbitrer entre enveloppes non plus sur les seuls frais, mais sur le coût fiscal complet.</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Rappel</w:t>
      </w:r>
    </w:p>
    <w:p>
      <w:pPr>
        <w:shd w:color="F3F4F6" w:val="solid"/>
        <w:spacing w:after="120" w:before="120"/>
        <w:ind w:left="360" w:right="360"/>
      </w:pPr>
      <w:r>
        <w:rPr>
          <w:rFonts w:ascii="Times New Roman" w:cs="Times New Roman" w:eastAsia="Times New Roman" w:hAnsi="Times New Roman"/>
          <w:color w:val="1F2937"/>
          <w:sz w:val="22"/>
          <w:szCs w:val="22"/>
        </w:rPr>
        <w:t xml:space="preserve">Cette leçon relève de l'éducation financière générale. Elle n'est pas un conseil en investissement personnalisé. Les revenus du capital comportent un risque de perte en capital selon les produits. Pour toute décision patrimoniale, consultez un conseiller en gestion de patrimoine (CGP) ou un conseiller en investissements financiers (CIF) agréé par l'AMF.</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Théorie (20 %) — La fiscalité des revenus du capital</w:t>
      </w:r>
    </w:p>
    <w:p>
      <w:pPr>
        <w:spacing w:after="80" w:before="200"/>
      </w:pPr>
      <w:r>
        <w:rPr>
          <w:rFonts w:ascii="Times New Roman" w:cs="Times New Roman" w:eastAsia="Times New Roman" w:hAnsi="Times New Roman"/>
          <w:b/>
          <w:bCs/>
          <w:color w:val="1F2937"/>
          <w:sz w:val="26"/>
          <w:szCs w:val="26"/>
        </w:rPr>
        <w:t xml:space="preserve">1. Qu'est-ce qu'un « revenu du capital » ?</w:t>
      </w:r>
    </w:p>
    <w:p>
      <w:pPr>
        <w:spacing w:after="60" w:before="60"/>
      </w:pPr>
      <w:r>
        <w:rPr>
          <w:rFonts w:ascii="Times New Roman" w:cs="Times New Roman" w:eastAsia="Times New Roman" w:hAnsi="Times New Roman"/>
          <w:color w:val="1F2937"/>
          <w:sz w:val="22"/>
          <w:szCs w:val="22"/>
        </w:rPr>
        <w:t xml:space="preserve">Les revenus du capital sont les gains générés par un actif financier. On distingue deux grandes catégories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revenus mobiliers : intérêts (sur des obligations, livrets, dépôts), dividendes (part des bénéfices distribués par une société)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plus-values de cession : gain réalisé à la vente d'un actif (actions, parts de fonds) au-dessus de son prix d'achat</w:t>
      </w:r>
    </w:p>
    <w:p>
      <w:pPr>
        <w:spacing w:after="60" w:before="60"/>
      </w:pPr>
      <w:r>
        <w:rPr>
          <w:rFonts w:ascii="Times New Roman" w:cs="Times New Roman" w:eastAsia="Times New Roman" w:hAnsi="Times New Roman"/>
          <w:color w:val="1F2937"/>
          <w:sz w:val="22"/>
          <w:szCs w:val="22"/>
        </w:rPr>
        <w:t xml:space="preserve">La distinction est importante car certains régimes ne s'appliquent qu'à l'une ou l'autre catégorie.</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2. Le Prélèvement Forfaitaire Unique (PFU) — la « flat tax »</w:t>
      </w:r>
    </w:p>
    <w:p>
      <w:pPr>
        <w:spacing w:after="60" w:before="60"/>
      </w:pPr>
      <w:r>
        <w:rPr>
          <w:rFonts w:ascii="Times New Roman" w:cs="Times New Roman" w:eastAsia="Times New Roman" w:hAnsi="Times New Roman"/>
          <w:color w:val="1F2937"/>
          <w:sz w:val="22"/>
          <w:szCs w:val="22"/>
        </w:rPr>
        <w:t xml:space="preserve">Introduit en 2018, le PFU est le régime de droit commun. Il s'applique automatiquement, sans démarche de votre part.</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Composition du PFU en 2026 (source : impots.gouv.fr — Les revenus mobiliers)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Composante</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Taux</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Détail</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Impôt sur le revenu (IR)</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12,8 %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Taux fixe, indépendant de la tranche marginale</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Prélèvements sociaux</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18,6 %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CSG 10,6 % + CRDS 0,5 % + Solidarité 7,5 %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total 2026</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31,4 %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Hausse de 1,4 pt vs 2025 (contribution financement autonomie)</w:t>
            </w:r>
          </w:p>
        </w:tc>
      </w:tr>
    </w:tbl>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 Changement 2026 : le PFU est passé de 30 % à 31,4 % au 1er janvier 2026, en raison de la hausse de la CSG de 9,2 % à 10,6 % (financement de la branche autonomie). Les taux mentionnés dans des sources antérieures à janvier 2026 sont donc dépassés.</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Comment fonctionne le prélèvement en pratique ? La banque ou l'établissement financier prélève 12,8 % à la source comme acompte lors de chaque versement (retenue à la source non libératoire). Le montant est régularisé lors de la déclaration de revenus annuelle.</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Seuil d'exonération de la retenue à la source (acompte 12,8 %) : revenu fiscal de référence (RFR) inférieur à 25 000 € pour un célibataire, 50 000 € pour un couple. Dans ce cas, vous pouvez demander la dispense de la retenue à la source auprès de votre établissement avant le 30 novembre de l'année précédente.</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3. L'option pour le barème progressif de l'IR</w:t>
      </w:r>
    </w:p>
    <w:p>
      <w:pPr>
        <w:spacing w:after="60" w:before="60"/>
      </w:pPr>
      <w:r>
        <w:rPr>
          <w:rFonts w:ascii="Times New Roman" w:cs="Times New Roman" w:eastAsia="Times New Roman" w:hAnsi="Times New Roman"/>
          <w:color w:val="1F2937"/>
          <w:sz w:val="22"/>
          <w:szCs w:val="22"/>
        </w:rPr>
        <w:t xml:space="preserve">Chaque année, lors de la déclaration de revenus, vous pouvez opter pour le barème progressif en cochant la case 2OP. Points essentiels à retenir :</w:t>
      </w:r>
    </w:p>
    <w:p>
      <w:pPr>
        <w:spacing w:after="80" w:before="80"/>
      </w:pPr>
      <w:r>
        <w:t xml:space="preserve"/>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L'option est globale : elle s'applique à tous les revenus du capital de l'année (intérêts, dividendes, plus-values). On ne peut pas choisir produit par produit.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prélèvements sociaux (18,6 %) restent dus dans tous les cas — que vous choisissiez PFU ou barème progressif.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Avantage spécifique du barème progressif : abattement de 40 % sur les dividendes bruts, applicable aux dividendes de sociétés françaises ou européennes soumises à l'IS. La base imposable à l'IR est donc 60 % du dividende brut.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CSG partiellement déductible : 6,8 % de la CSG payée sur les revenus du capital sont déductibles du revenu imposable de l'année suivante (N+1), uniquement avec l'option barème progressif.</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Depuis 2026 : l'option barème progressif n'est plus irrévocable. Vous pouvez choisir chaque année le régime le plus favorable. C'est une nouveauté favorable aux contribuables.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Critère</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PFU (défaut)</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Barème progressif (case 2OP)</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Taux IR</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12,8 % fixe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Tranche marginale (0 %, 11 %, 30 %, 41 % ou 45 %)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Prélèvements sociaux</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18,6 %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18,6 % (identiques)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Abattement dividendes</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Aucun</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40 % sur dividendes bruts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CSG déductible N+1</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 6,8 % déductibles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Abattement durée détention (titres pré-2018)</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 50 % (&gt; 2 ans) / 65 % (&gt; 8 ans)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Globalité de l'option</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N/A</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 tous les revenus du capital</w:t>
            </w:r>
          </w:p>
        </w:tc>
      </w:tr>
    </w:tbl>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4. Quand le barème progressif devient-il avantageux ?</w:t>
      </w:r>
    </w:p>
    <w:p>
      <w:pPr>
        <w:spacing w:after="60" w:before="60"/>
      </w:pPr>
      <w:r>
        <w:rPr>
          <w:rFonts w:ascii="Times New Roman" w:cs="Times New Roman" w:eastAsia="Times New Roman" w:hAnsi="Times New Roman"/>
          <w:color w:val="1F2937"/>
          <w:sz w:val="22"/>
          <w:szCs w:val="22"/>
        </w:rPr>
        <w:t xml:space="preserve">La littérature sur la fiscalité de l'épargne identifie un cas central : le contribuable dont la tranche marginale d'imposition (TMI) est inférieure à 12,8 % bénéficie mécaniquement du barème progressif. Pour les tranches supérieures, l'abattement de 40 % sur dividendes peut compenser, selon la composition des revenus.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Situation</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Orientation générale (à vérifier avec un professionnel)</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TMI 0 % ou 11 %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Barème progressif souvent plus favorable</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Revenus principalement en dividendes + abattement 40 %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Barème progressif à étudier</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TMI 30 % — revenus mixtes intérêts/dividendes</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souvent équivalent ou légèrement avantageux</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TMI 41 % ou 45 %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systématiquement plus avantageux</w:t>
            </w:r>
          </w:p>
        </w:tc>
      </w:tr>
    </w:tbl>
    <w:p>
      <w:pPr>
        <w:shd w:color="F3F4F6" w:val="solid"/>
        <w:spacing w:after="120" w:before="120"/>
        <w:ind w:left="360" w:right="360"/>
      </w:pPr>
      <w:r>
        <w:rPr>
          <w:rFonts w:ascii="Times New Roman" w:cs="Times New Roman" w:eastAsia="Times New Roman" w:hAnsi="Times New Roman"/>
          <w:color w:val="1F2937"/>
          <w:sz w:val="22"/>
          <w:szCs w:val="22"/>
        </w:rPr>
        <w:t xml:space="preserve">Attention : ce tableau est une orientation pédagogique, non un conseil personnalisé. Le calcul exact dépend de votre situation complète. Demandez une simulation à votre conseiller agréé.</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5. Les prélèvements sociaux — Composition détaillée (2026)</w:t>
      </w:r>
    </w:p>
    <w:p>
      <w:pPr>
        <w:spacing w:after="60" w:before="60"/>
      </w:pPr>
      <w:r>
        <w:rPr>
          <w:rFonts w:ascii="Times New Roman" w:cs="Times New Roman" w:eastAsia="Times New Roman" w:hAnsi="Times New Roman"/>
          <w:color w:val="1F2937"/>
          <w:sz w:val="22"/>
          <w:szCs w:val="22"/>
        </w:rPr>
        <w:t xml:space="preserve">Source : service-public.fr / F2329 (prélèvements sociaux sur les revenus du capital,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Prélèvement</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Taux 2026</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CSG (Contribution Sociale Généralisée)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10,6 %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CRDS (Contribution au Remboursement de la Dette Sociale)</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0,5 %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Prélèvement de solidarité</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7,5 %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Total prélèvements sociaux</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18,6 %</w:t>
            </w:r>
          </w:p>
        </w:tc>
      </w:tr>
    </w:tbl>
    <w:p>
      <w:pPr>
        <w:spacing w:after="60" w:before="60"/>
      </w:pPr>
      <w:r>
        <w:rPr>
          <w:rFonts w:ascii="Times New Roman" w:cs="Times New Roman" w:eastAsia="Times New Roman" w:hAnsi="Times New Roman"/>
          <w:color w:val="1F2937"/>
          <w:sz w:val="22"/>
          <w:szCs w:val="22"/>
        </w:rPr>
        <w:t xml:space="preserve">Les prélèvements sociaux s'appliquent sur les gains, pas sur le capital. Ils concernent les intérêts, dividendes, et plus-values, quel que soit le régime fiscal choisi.</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6. Les enveloppes fiscalement avantageuses</w:t>
      </w:r>
    </w:p>
    <w:p>
      <w:pPr>
        <w:spacing w:after="60" w:before="60"/>
      </w:pPr>
      <w:r>
        <w:rPr>
          <w:rFonts w:ascii="Times New Roman" w:cs="Times New Roman" w:eastAsia="Times New Roman" w:hAnsi="Times New Roman"/>
          <w:color w:val="1F2937"/>
          <w:sz w:val="22"/>
          <w:szCs w:val="22"/>
        </w:rPr>
        <w:t xml:space="preserve">Certaines enveloppes bénéficient d'un régime dérogatoire — plus favorable que le PFU — à condition de respecter leurs règles propres (durée de détention, plafonds, conditions de retrait) :</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Enveloppe / Produit</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Avantage fiscal</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Condition principale</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Livret A, LDDS, LEP</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Totalement exonérés (IR + prélèvements sociaux)</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Plafonds de versement réglementés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PEA — Plan d'Épargne en Actions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Exonération IR après 5 ans ; prélèvements sociaux (18,6 %) seuls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Durée de détention ≥ 5 ans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Assurance-vie &gt; 8 ans</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IR à 7,5 % (au lieu de 12,8 %) ; abattement annuel 4 600 € (célibataire) / 9 200 € (couple)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Ancienneté du contrat ≥ 8 ans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PEL (avant 12 ans)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Exonération d'IR pendant la phase d'épargne (prélèvements sociaux dus)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PEL ouvert avant 2018</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PER — Plan d'Épargne Retraite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Déduction des versements du revenu imposable (phase d'épargne) ; imposition à la sortie selon option</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Sortie en rente ou en capital à la retraite</w:t>
            </w:r>
          </w:p>
        </w:tc>
      </w:tr>
    </w:tbl>
    <w:p>
      <w:pPr>
        <w:shd w:color="F3F4F6" w:val="solid"/>
        <w:spacing w:after="120" w:before="120"/>
        <w:ind w:left="360" w:right="360"/>
      </w:pPr>
      <w:r>
        <w:rPr>
          <w:rFonts w:ascii="Times New Roman" w:cs="Times New Roman" w:eastAsia="Times New Roman" w:hAnsi="Times New Roman"/>
          <w:color w:val="1F2937"/>
          <w:sz w:val="22"/>
          <w:szCs w:val="22"/>
        </w:rPr>
        <w:t xml:space="preserve">Rappel : les régimes fiscaux des enveloppes sont susceptibles d'évoluer. Vérifiez les conditions en vigueur au moment de votre décision auprès d'un professionnel ou sur service-public.fr et impots.gouv.fr.</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Pratique (80 %) — Exercices</w:t>
      </w:r>
    </w:p>
    <w:p>
      <w:pPr>
        <w:spacing w:after="80" w:before="200"/>
      </w:pPr>
      <w:r>
        <w:rPr>
          <w:rFonts w:ascii="Times New Roman" w:cs="Times New Roman" w:eastAsia="Times New Roman" w:hAnsi="Times New Roman"/>
          <w:b/>
          <w:bCs/>
          <w:color w:val="1F2937"/>
          <w:sz w:val="26"/>
          <w:szCs w:val="26"/>
        </w:rPr>
        <w:t xml:space="preserve">Exercice 1 — Décomposer le PFU</w:t>
      </w:r>
    </w:p>
    <w:p>
      <w:pPr>
        <w:spacing w:after="60" w:before="60"/>
      </w:pPr>
      <w:r>
        <w:rPr>
          <w:rFonts w:ascii="Times New Roman" w:cs="Times New Roman" w:eastAsia="Times New Roman" w:hAnsi="Times New Roman"/>
          <w:color w:val="1F2937"/>
          <w:sz w:val="22"/>
          <w:szCs w:val="22"/>
        </w:rPr>
        <w:t xml:space="preserve">Questions de compréhension active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Q1. Un épargnant perçoit 800 € d'intérêts sur un contrat obligataire. Quel montant sera prélevé au titre du PFU 2026 ? Décomposez la réponse en IR et prélèvements sociaux.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Q2. La même année, il perçoit 500 € de dividendes. Qu'est-ce qui change dans le calcul par rapport aux intérêts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Q3. Sa banque a prélevé un acompte de 12,8 % en cours d'année. Qu'advient-il de cet acompte lors de la déclaration de revenus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Corrigé — Exercice 1</w:t>
      </w:r>
    </w:p>
    <w:p>
      <w:pPr>
        <w:shd w:color="F3F4F6" w:val="solid"/>
        <w:spacing w:after="120" w:before="120"/>
        <w:ind w:left="360" w:right="360"/>
      </w:pPr>
      <w:r>
        <w:rPr>
          <w:rFonts w:ascii="Times New Roman" w:cs="Times New Roman" w:eastAsia="Times New Roman" w:hAnsi="Times New Roman"/>
          <w:color w:val="1F2937"/>
          <w:sz w:val="22"/>
          <w:szCs w:val="22"/>
        </w:rPr>
        <w:t xml:space="preserve">Q1. Intérêts : 800 € × 12,8 % = 102,40 € (IR) + 800 € × 18,6 % = 148,80 € (prélèvements sociaux) = 251,20 € au total, soit un taux effectif de 31,4 %. Le gain net après fiscalité est de 548,80 €.</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Q2. Pour les dividendes, le montant prélevé au titre du PFU est identique dans le calcul (31,4 % sur le brut). Mais si l'épargnant optait pour le barème progressif, un abattement de 40 % s'appliquerait sur la base IR uniquement — pas sur les prélèvements sociaux. Le montant net dépend alors de sa TMI.</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Q3. L'acompte de 12,8 % prélevé par la banque est une retenue à la source non libératoire : il constitue un acompte sur l'IR dû. Lors de la déclaration, l'administration calcule l'impôt réel ; l'acompte déjà payé vient en déduction. Si l'acompte dépasse l'IR réel (ex. : contribuable exonéré), le surplus est remboursé.</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Exercice 2 — PFU vs barème progressif : comparer deux situations</w:t>
      </w:r>
    </w:p>
    <w:p>
      <w:pPr>
        <w:spacing w:after="60" w:before="60"/>
      </w:pPr>
      <w:r>
        <w:rPr>
          <w:rFonts w:ascii="Times New Roman" w:cs="Times New Roman" w:eastAsia="Times New Roman" w:hAnsi="Times New Roman"/>
          <w:color w:val="1F2937"/>
          <w:sz w:val="22"/>
          <w:szCs w:val="22"/>
        </w:rPr>
        <w:t xml:space="preserve">Deux profils fictifs perçoivent chacun 2 000 € de dividendes bruts dans l'année.</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Profil A</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Profil B</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TMI (tranche marginale)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11 %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30 %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Dividendes bruts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2 000 €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2 000 €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 IR (12,8 %)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256 €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256 €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 Prélèvements sociaux (18,6 %)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372 €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372 €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Total PFU</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628 €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628 €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Option barème — base IR (après abattement 40 %)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1 200 €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1 200 €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Option barème — IR selon TMI</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1 200 × 11 % = 132 €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1 200 × 30 % = 360 €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Option barème — Prélèvements sociaux (18,6 %)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372 €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372 €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Total barème progressif</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504 €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732 €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Gain (ou coût) du barème vs PFU</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−124 € (économie)</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+104 € (surcoût)</w:t>
            </w:r>
          </w:p>
        </w:tc>
      </w:tr>
    </w:tbl>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 quel profil l'option barème est-elle avantageuse ? Pourquoi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le Profil A décide d'opter pour le barème progressif, à quoi doit-il veiller pour ne pas se retrouver dans une situation moins favorable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Corrigé — Exercice 2</w:t>
      </w:r>
    </w:p>
    <w:p>
      <w:pPr>
        <w:shd w:color="F3F4F6" w:val="solid"/>
        <w:spacing w:after="120" w:before="120"/>
        <w:ind w:left="360" w:right="360"/>
      </w:pPr>
      <w:r>
        <w:rPr>
          <w:rFonts w:ascii="Times New Roman" w:cs="Times New Roman" w:eastAsia="Times New Roman" w:hAnsi="Times New Roman"/>
          <w:color w:val="1F2937"/>
          <w:sz w:val="22"/>
          <w:szCs w:val="22"/>
        </w:rPr>
        <w:t xml:space="preserve">Le barème progressif est avantageux pour le Profil A (TMI 11 %) : l'abattement de 40 % sur dividendes ramène la base IR à 1 200 €, imposée à 11 % = 132 €, soit bien moins que 256 € au PFU. L'économie est de 124 € sur cet unique poste.</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Pour le Profil B (TMI 30 %), le barème est défavorable : 360 € d'IR vs 256 €, une différence non compensée même par la CSG déductible de 6,8 %. Le PFU reste plus économique.</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Vigilance pour le Profil A : l'option est globale. Si, la même année, il perçoit aussi des intérêts (sans abattement), ils seront taxés à 11 % au lieu de 12,8 % — léger avantage. Mais s'il a réalisé des plus-values importantes, il doit vérifier que le barème n'alourdit pas la facture globale. Calcul complet recommandé, idéalement avec un conseiller ou un simulateur fiscal.</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Exercice 3 — Identifier l'enveloppe la plus adaptée</w:t>
      </w:r>
    </w:p>
    <w:p>
      <w:pPr>
        <w:spacing w:after="60" w:before="60"/>
      </w:pPr>
      <w:r>
        <w:rPr>
          <w:rFonts w:ascii="Times New Roman" w:cs="Times New Roman" w:eastAsia="Times New Roman" w:hAnsi="Times New Roman"/>
          <w:color w:val="1F2937"/>
          <w:sz w:val="22"/>
          <w:szCs w:val="22"/>
        </w:rPr>
        <w:t xml:space="preserve">Situation : un épargnant dispose de 20 000 € à placer sur 7 à 8 ans. Il hésite entre trois solutions pour investir en actions européennes.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Option</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Enveloppe</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Régime fiscal à la sortie (7-8 ans)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Compte-titres ordinaire (CTO)</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31,4 % sur les plus-values et dividendes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B</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PEA — ouvert depuis 6 ans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Exonération IR ; prélèvements sociaux 18,6 % sur plus-values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Assurance-vie en UC (contrat &gt; 8 ans, 1er versement)</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IR 7,5 % + abattement 4 600 € ; prélèvements sociaux 18,6 %</w:t>
            </w:r>
          </w:p>
        </w:tc>
      </w:tr>
    </w:tbl>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option est fiscalement la plus légère, toutes choses égales par ailleurs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Quelles contraintes pratiques distinguent PEA et assurance-vie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Quels éléments manquent pour trancher définitivement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Corrigé — Exercice 3</w:t>
      </w:r>
    </w:p>
    <w:p>
      <w:pPr>
        <w:shd w:color="F3F4F6" w:val="solid"/>
        <w:spacing w:after="120" w:before="120"/>
        <w:ind w:left="360" w:right="360"/>
      </w:pPr>
      <w:r>
        <w:rPr>
          <w:rFonts w:ascii="Times New Roman" w:cs="Times New Roman" w:eastAsia="Times New Roman" w:hAnsi="Times New Roman"/>
          <w:color w:val="1F2937"/>
          <w:sz w:val="22"/>
          <w:szCs w:val="22"/>
        </w:rPr>
        <w:t xml:space="preserve">Option B (PEA) : l'exonération d'IR sur les plus-values en fait l'enveloppe la moins taxée à l'horizon 7-8 ans, à condition que le plan ait plus de 5 ans. Seuls les 18,6 % de prélèvements sociaux restent dus.</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Option C (assurance-vie &gt; 8 ans) : l'IR à 7,5 % et l'abattement annuel de 4 600 € en font une option très compétitive, notamment si les gains restent sous l'abattement. Elle peut être plus flexible que le PEA (pas de plafond de 150 000 €, pas de restriction sur les classes d'actifs).</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Option A (CTO) : le moins favorable fiscalement sur ce type de gain, mais le plus flexible (pas de plafond, pas d'engagement de durée, accès à toutes les classes d'actifs mondiales).</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Éléments manquants pour trancher : montant des gains réalisés (si faibles, l'abattement AV couvre tout), existence d'un PEA déjà ouvert ou à ouvrir, frais de chaque enveloppe (rappel leçon 9), besoins de liquidité, fiscalité de transmission (voir leçon 16). Ces arbitrages relèvent d'un conseiller agréé.</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Challenge — Optimisation fiscale d'un portefeuille fictif</w:t>
      </w:r>
    </w:p>
    <w:p>
      <w:pPr>
        <w:spacing w:after="60" w:before="60"/>
      </w:pPr>
      <w:r>
        <w:rPr>
          <w:rFonts w:ascii="Times New Roman" w:cs="Times New Roman" w:eastAsia="Times New Roman" w:hAnsi="Times New Roman"/>
          <w:color w:val="1F2937"/>
          <w:sz w:val="22"/>
          <w:szCs w:val="22"/>
        </w:rPr>
        <w:t xml:space="preserve">Contexte : M. Marchal a 61 ans, TMI 30 %. Il détient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compte-titres (CTO) avec 50 000 € en actions, acheté en 2019, valeur actuelle 72 000 € (plus-value latente de 22 000 €)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contrat d'assurance-vie ouvert en 2015, valeur 45 000 €, dont 8 000 € de gains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PEA ouvert en 2020, valeur 30 000 €, dont 7 000 € de gains</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Il envisage de liquider partiellement l'ensemble sur 3 ans. Travail demandé (sans viser l'exactitude fiscale complète, mais l'ordre de grandeur et la logique)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Estimez l'imposition sur les 22 000 € de plus-values CTO selon le PFU 2026</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Estimez l'imposition sur les 8 000 € de gains de l'assurance-vie (contrat &gt; 8 ans, TMI 30 %)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Estimez l'imposition sur les 7 000 € de gains du PEA (&gt; 5 ans)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enveloppe coûte le plus cher fiscalement ? Quelle leçon en tirez-vous pour la composition future d'un portefeuille orienté « horizon 7-8 ans »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Corrigé — Challenge</w:t>
      </w:r>
    </w:p>
    <w:p>
      <w:pPr>
        <w:shd w:color="F3F4F6" w:val="solid"/>
        <w:spacing w:after="120" w:before="120"/>
        <w:ind w:left="360" w:right="360"/>
      </w:pPr>
      <w:r>
        <w:rPr>
          <w:rFonts w:ascii="Times New Roman" w:cs="Times New Roman" w:eastAsia="Times New Roman" w:hAnsi="Times New Roman"/>
          <w:color w:val="1F2937"/>
          <w:sz w:val="22"/>
          <w:szCs w:val="22"/>
        </w:rPr>
        <w:t xml:space="preserve">CTO — Plus-values 22 000 € au PFU : IR 12,8 % = 2 816 € + Prélèvements sociaux 18,6 % = 4 092 € → Total : 6 908 €. Gain net après fiscalité : 15 092 €.</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Assurance-vie — Gains 8 000 €, contrat &gt; 8 ans, TMI 30 % : IR à 7,5 % (régime préférentiel) = 600 €. Mais l'abattement annuel de 4 600 € s'applique sur les gains : base imposable IR = 8 000 − 4 600 = 3 400 € → IR = 3 400 × 7,5 % = 255 €. Prélèvements sociaux : 8 000 × 18,6 % = 1 488 €. Total : 1 743 €. (Si les rachats sont étalés sur 3 ans, l'abattement de 4 600 € peut s'appliquer chaque année, réduisant encore l'imposition.)</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PEA — Gains 7 000 €, plan &gt; 5 ans : exonération IR totale. Prélèvements sociaux seuls : 7 000 × 18,6 % = 1 302 €.</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Synthèse : le CTO est l'enveloppe la plus coûteuse fiscalement (6 908 €), soit près de 4× plus que le PEA (1 302 €) sur des gains comparables. L'assurance-vie, grâce à l'abattement, est très compétitive. Leçon : pour un horizon de 7-8 ans avec des placements en actions, privilégier PEA et assurance-vie comme enveloppes de capitalisation et réserver le CTO aux actifs non éligibles à ces enveloppes ou aux stratégies de trading court terme.</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 Ces calculs sont des ordres de grandeur pédagogiques. La situation fiscale réelle de M. Marchal dépend de nombreux autres paramètres (autres revenus, charges déductibles, situation familiale). Ce challenge illustre des mécanismes, il ne constitue pas une recommandation personnalisée.</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Pont professionnel (optionnel)</w:t>
      </w:r>
    </w:p>
    <w:p>
      <w:pPr>
        <w:spacing w:after="60" w:before="60"/>
      </w:pPr>
      <w:r>
        <w:rPr>
          <w:rFonts w:ascii="Times New Roman" w:cs="Times New Roman" w:eastAsia="Times New Roman" w:hAnsi="Times New Roman"/>
          <w:color w:val="1F2937"/>
          <w:sz w:val="22"/>
          <w:szCs w:val="22"/>
        </w:rPr>
        <w:t xml:space="preserve">En tant que chef de service en ESSMS, vous gérez une équipe de 12 professionnels. La question de la rémunération nette est au cœur du dialogue social : un salarié qui comprend la différence entre revenu brut, net imposable et net après impôt est mieux outillé pour lire sa fiche de paie. Le mécanisme de la CSG (prélevée à la source sur les salaires aussi), des abattements et du barème progressif fait écho aux questions que les équipes soulèvent parfois lors des entretiens annuels. Cette culture financière de base contribue à des échanges plus informés sur les thèmes de rémunération et d'épargne salariale — sans jamais empiéter sur le rôle du conseiller financier.</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Sources consultées et vérifiées le 15 août 2026 :</w:t>
      </w:r>
    </w:p>
    <w:p>
      <w:pPr>
        <w:spacing w:after="80" w:before="80"/>
      </w:pPr>
      <w:r>
        <w:t xml:space="preserve"/>
      </w:r>
    </w:p>
    <w:p>
      <w:pPr>
        <w:pStyle w:val="ListParagraph"/>
        <w:numPr>
          <w:ilvl w:val="0"/>
          <w:numId w:val="1"/>
        </w:numPr>
        <w:spacing w:after="40" w:before="40"/>
      </w:pPr>
      <w:hyperlink w:history="1" r:id="rIdzat0fvwczp2floizepfhg">
        <w:r>
          <w:rPr>
            <w:rFonts w:ascii="Times New Roman" w:cs="Times New Roman" w:eastAsia="Times New Roman" w:hAnsi="Times New Roman"/>
            <w:color w:val="1155CC"/>
            <w:sz w:val="22"/>
            <w:szCs w:val="22"/>
            <w:u w:val="single"/>
          </w:rPr>
          <w:t xml:space="preserve">La Finance pour Tous — Le Prélèvement Forfaitaire Unique (PFU)</w:t>
        </w:r>
      </w:hyperlink>
    </w:p>
    <w:p>
      <w:pPr>
        <w:spacing w:after="80" w:before="20"/>
        <w:ind w:left="360"/>
      </w:pPr>
      <w:r>
        <w:rPr>
          <w:rFonts w:ascii="Times New Roman" w:cs="Times New Roman" w:eastAsia="Times New Roman" w:hAnsi="Times New Roman"/>
          <w:color w:val="1F2937"/>
          <w:sz w:val="22"/>
          <w:szCs w:val="22"/>
        </w:rPr>
        <w:t xml:space="preserve">Site de l'Institut pour l'Éducation Financière du Public (IEFP) — neutre et pédagogique. Explication du PFU, de ses composantes et des cas où le barème progressif peut être préférable.</w:t>
      </w:r>
    </w:p>
    <w:p>
      <w:pPr>
        <w:spacing w:after="80" w:before="80"/>
      </w:pPr>
      <w:r>
        <w:t xml:space="preserve"/>
      </w:r>
    </w:p>
    <w:p>
      <w:pPr>
        <w:pStyle w:val="ListParagraph"/>
        <w:numPr>
          <w:ilvl w:val="0"/>
          <w:numId w:val="1"/>
        </w:numPr>
        <w:spacing w:after="40" w:before="40"/>
      </w:pPr>
      <w:hyperlink w:history="1" r:id="rIddkjd8s4hqvw7oeeeydoik">
        <w:r>
          <w:rPr>
            <w:rFonts w:ascii="Times New Roman" w:cs="Times New Roman" w:eastAsia="Times New Roman" w:hAnsi="Times New Roman"/>
            <w:color w:val="1155CC"/>
            <w:sz w:val="22"/>
            <w:szCs w:val="22"/>
            <w:u w:val="single"/>
          </w:rPr>
          <w:t xml:space="preserve">Impots.gouv.fr — Les revenus mobiliers</w:t>
        </w:r>
      </w:hyperlink>
    </w:p>
    <w:p>
      <w:pPr>
        <w:spacing w:after="80" w:before="20"/>
        <w:ind w:left="360"/>
      </w:pPr>
      <w:r>
        <w:rPr>
          <w:rFonts w:ascii="Times New Roman" w:cs="Times New Roman" w:eastAsia="Times New Roman" w:hAnsi="Times New Roman"/>
          <w:color w:val="1F2937"/>
          <w:sz w:val="22"/>
          <w:szCs w:val="22"/>
        </w:rPr>
        <w:t xml:space="preserve">Source primaire officielle. Présente le PFU, la retenue à la source, l'option barème progressif (case 2OP), les seuils d'exonération de la retenue et les produits exonérés.</w:t>
      </w:r>
    </w:p>
    <w:p>
      <w:pPr>
        <w:spacing w:after="80" w:before="80"/>
      </w:pPr>
      <w:r>
        <w:t xml:space="preserve"/>
      </w:r>
    </w:p>
    <w:p>
      <w:pPr>
        <w:pStyle w:val="ListParagraph"/>
        <w:numPr>
          <w:ilvl w:val="0"/>
          <w:numId w:val="1"/>
        </w:numPr>
        <w:spacing w:after="40" w:before="40"/>
      </w:pPr>
      <w:hyperlink w:history="1" r:id="rIdi7liriyx2jzuaiz-_p3kb">
        <w:r>
          <w:rPr>
            <w:rFonts w:ascii="Times New Roman" w:cs="Times New Roman" w:eastAsia="Times New Roman" w:hAnsi="Times New Roman"/>
            <w:color w:val="1155CC"/>
            <w:sz w:val="22"/>
            <w:szCs w:val="22"/>
            <w:u w:val="single"/>
          </w:rPr>
          <w:t xml:space="preserve">Service-Public.fr — F2329 : Prélèvements sociaux sur les revenus du capital</w:t>
        </w:r>
      </w:hyperlink>
    </w:p>
    <w:p>
      <w:pPr>
        <w:spacing w:after="80" w:before="20"/>
        <w:ind w:left="360"/>
      </w:pPr>
      <w:r>
        <w:rPr>
          <w:rFonts w:ascii="Times New Roman" w:cs="Times New Roman" w:eastAsia="Times New Roman" w:hAnsi="Times New Roman"/>
          <w:color w:val="1F2937"/>
          <w:sz w:val="22"/>
          <w:szCs w:val="22"/>
        </w:rPr>
        <w:t xml:space="preserve">Source officielle. Détaille la composition des prélèvements sociaux (CSG 10,6 % + CRDS 0,5 % + prélèvement de solidarité 7,5 % = 18,6 % en 2026) et les revenus concernés.</w:t>
      </w:r>
    </w:p>
    <w:p>
      <w:pPr>
        <w:spacing w:after="80" w:before="80"/>
      </w:pPr>
      <w:r>
        <w:t xml:space="preserve"/>
      </w:r>
    </w:p>
    <w:p>
      <w:pPr>
        <w:pStyle w:val="ListParagraph"/>
        <w:numPr>
          <w:ilvl w:val="0"/>
          <w:numId w:val="1"/>
        </w:numPr>
        <w:spacing w:after="40" w:before="40"/>
      </w:pPr>
      <w:hyperlink w:history="1" r:id="rIdzgqyzxx8poq9imvjidmeg">
        <w:r>
          <w:rPr>
            <w:rFonts w:ascii="Times New Roman" w:cs="Times New Roman" w:eastAsia="Times New Roman" w:hAnsi="Times New Roman"/>
            <w:color w:val="1155CC"/>
            <w:sz w:val="22"/>
            <w:szCs w:val="22"/>
            <w:u w:val="single"/>
          </w:rPr>
          <w:t xml:space="preserve">AMF — Espace Épargnants</w:t>
        </w:r>
      </w:hyperlink>
    </w:p>
    <w:p>
      <w:pPr>
        <w:spacing w:after="80" w:before="20"/>
        <w:ind w:left="360"/>
      </w:pPr>
      <w:r>
        <w:rPr>
          <w:rFonts w:ascii="Times New Roman" w:cs="Times New Roman" w:eastAsia="Times New Roman" w:hAnsi="Times New Roman"/>
          <w:color w:val="1F2937"/>
          <w:sz w:val="22"/>
          <w:szCs w:val="22"/>
        </w:rPr>
        <w:t xml:space="preserve">Site du régulateur (Autorité des marchés financiers). Ressources pédagogiques sur les produits financiers, les droits des épargnants, les alertes et la protection contre les arnaques.</w:t>
      </w:r>
    </w:p>
    <w:p>
      <w:pPr>
        <w:spacing w:after="80" w:before="80"/>
      </w:pPr>
      <w:r>
        <w:t xml:space="preserve"/>
      </w:r>
    </w:p>
    <w:p>
      <w:pPr>
        <w:pStyle w:val="ListParagraph"/>
        <w:numPr>
          <w:ilvl w:val="0"/>
          <w:numId w:val="1"/>
        </w:numPr>
        <w:spacing w:after="40" w:before="40"/>
      </w:pPr>
      <w:hyperlink w:history="1" r:id="rIdgviaqrx508qykj_mokyq4">
        <w:r>
          <w:rPr>
            <w:rFonts w:ascii="Times New Roman" w:cs="Times New Roman" w:eastAsia="Times New Roman" w:hAnsi="Times New Roman"/>
            <w:color w:val="1155CC"/>
            <w:sz w:val="22"/>
            <w:szCs w:val="22"/>
            <w:u w:val="single"/>
          </w:rPr>
          <w:t xml:space="preserve">ABE Info Service — Assurance Banque Épargne Info Service</w:t>
        </w:r>
      </w:hyperlink>
    </w:p>
    <w:p>
      <w:pPr>
        <w:spacing w:after="80" w:before="20"/>
        <w:ind w:left="360"/>
      </w:pPr>
      <w:r>
        <w:rPr>
          <w:rFonts w:ascii="Times New Roman" w:cs="Times New Roman" w:eastAsia="Times New Roman" w:hAnsi="Times New Roman"/>
          <w:color w:val="1F2937"/>
          <w:sz w:val="22"/>
          <w:szCs w:val="22"/>
        </w:rPr>
        <w:t xml:space="preserve">⚠️ Vérification automatique bloquée (403 — anti-robot), mais la page est probablement accessible depuis un navigateur. Service commun AMF/ACPR de renseignement pour les épargnants et les assurés.</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Pour aller plus loin avec un professionnel</w:t>
      </w:r>
    </w:p>
    <w:p>
      <w:pPr>
        <w:spacing w:after="60" w:before="60"/>
      </w:pPr>
      <w:r>
        <w:rPr>
          <w:rFonts w:ascii="Times New Roman" w:cs="Times New Roman" w:eastAsia="Times New Roman" w:hAnsi="Times New Roman"/>
          <w:color w:val="1F2937"/>
          <w:sz w:val="22"/>
          <w:szCs w:val="22"/>
        </w:rPr>
        <w:t xml:space="preserve">Questions concrètes à poser à un conseiller en gestion de patrimoine (CGP) ou CIF agréé AMF :</w:t>
      </w:r>
    </w:p>
    <w:p>
      <w:pPr>
        <w:spacing w:after="80" w:before="80"/>
      </w:pPr>
      <w:r>
        <w:t xml:space="preserve"/>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Compte tenu de ma TMI et de la composition de mes revenus du capital (intérêts, dividendes, plus-values), a-t-il été avantageux pour moi de cocher la case 2OP ces dernières années, et l'est-il encore ?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À mon horizon de placement de 7-8 ans, quelle répartition entre CTO, PEA et assurance-vie minimise la fiscalité globale à la sortie, en tenant compte des plafonds et des frais ?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Comment la hausse des prélèvements sociaux à 18,6 % en 2026 modifie-t-elle l'avantage comparatif du PEA par rapport au CTO dans mon cas précis ? »</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color w:val="1F2937"/>
          <w:sz w:val="22"/>
          <w:szCs w:val="22"/>
        </w:rPr>
        <w:t xml:space="preserve">Leçon n°11 / 20 — L'épargne salariale : PEE, PERECO, intéressement, abondement</w:t>
      </w:r>
    </w:p>
    <w:p>
      <w:pPr>
        <w:spacing w:after="60" w:before="60"/>
      </w:pPr>
      <w:r>
        <w:rPr>
          <w:rFonts w:ascii="Times New Roman" w:cs="Times New Roman" w:eastAsia="Times New Roman" w:hAnsi="Times New Roman"/>
          <w:color w:val="1F2937"/>
          <w:sz w:val="22"/>
          <w:szCs w:val="22"/>
        </w:rPr>
        <w:t xml:space="preserve">Au programme : comment fonctionne l'épargne salariale en entreprise, à quoi servent le Plan d'Épargne Entreprise (PEE) et le PERECO, et quel intérêt présente l'abondement employeur pour maximiser un placement à moindre coût fiscal.</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60" w:before="200"/>
        <w:jc w:val="center"/>
      </w:pPr>
      <w:r>
        <w:rPr>
          <w:rFonts w:ascii="Times New Roman" w:cs="Times New Roman" w:eastAsia="Times New Roman" w:hAnsi="Times New Roman"/>
          <w:i/>
          <w:iCs/>
          <w:color w:val="888888"/>
          <w:sz w:val="18"/>
          <w:szCs w:val="18"/>
        </w:rPr>
        <w:t xml:space="preserve">Parcours Placement financier — Éducation financière générale · Leçon 10/20 · Ce document ne constitue pas un conseil en investissement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at0fvwczp2floizepfhg" Type="http://schemas.openxmlformats.org/officeDocument/2006/relationships/hyperlink" Target="https://www.lafinancepourtous.com/decryptages/impots-et-taxes/impot-sur-le-revenu/prelevement-forfaitaire-unique/" TargetMode="External"/><Relationship Id="rIddkjd8s4hqvw7oeeeydoik" Type="http://schemas.openxmlformats.org/officeDocument/2006/relationships/hyperlink" Target="https://www.impots.gouv.fr/particulier/les-revenus-mobiliers" TargetMode="External"/><Relationship Id="rIdi7liriyx2jzuaiz-_p3kb" Type="http://schemas.openxmlformats.org/officeDocument/2006/relationships/hyperlink" Target="https://www.service-public.fr/particuliers/vosdroits/F2329" TargetMode="External"/><Relationship Id="rIdzgqyzxx8poq9imvjidmeg" Type="http://schemas.openxmlformats.org/officeDocument/2006/relationships/hyperlink" Target="https://www.amf-france.org/fr/espace-epargnants" TargetMode="External"/><Relationship Id="rIdgviaqrx508qykj_mokyq4" Type="http://schemas.openxmlformats.org/officeDocument/2006/relationships/hyperlink" Target="https://www.abe-infoservice.f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Placement financier n°10 — Fiscalité des revenus du capital</dc:title>
  <dc:creator>Claude Code — Job placement-financier-lecon</dc:creator>
  <dc:description>Parcours Placement financier — Leçon 10/20</dc:description>
  <cp:lastModifiedBy>Un-named</cp:lastModifiedBy>
  <cp:revision>1</cp:revision>
  <dcterms:created xsi:type="dcterms:W3CDTF">2026-08-15T06:09:09.661Z</dcterms:created>
  <dcterms:modified xsi:type="dcterms:W3CDTF">2026-08-15T06:09:09.677Z</dcterms:modified>
</cp:coreProperties>
</file>

<file path=docProps/custom.xml><?xml version="1.0" encoding="utf-8"?>
<Properties xmlns="http://schemas.openxmlformats.org/officeDocument/2006/custom-properties" xmlns:vt="http://schemas.openxmlformats.org/officeDocument/2006/docPropsVTypes"/>
</file>