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n°13</w:t>
      </w:r>
    </w:p>
    <w:p>
      <w:pPr>
        <w:pStyle w:val="Heading1"/>
        <w:spacing w:after="200" w:before="200"/>
        <w:jc w:val="center"/>
      </w:pPr>
      <w:r>
        <w:rPr>
          <w:rFonts w:ascii="Times New Roman" w:cs="Times New Roman" w:eastAsia="Times New Roman" w:hAnsi="Times New Roman"/>
          <w:b/>
          <w:bCs/>
          <w:color w:val="1B3A6B"/>
          <w:sz w:val="52"/>
          <w:szCs w:val="52"/>
        </w:rPr>
        <w:t xml:space="preserve">Troubles neurocognitifs et psychopathologie du vieillissement</w:t>
      </w:r>
    </w:p>
    <w:p>
      <w:pPr>
        <w:spacing w:after="60" w:before="60"/>
        <w:ind/>
      </w:pPr>
      <w:r>
        <w:rPr>
          <w:rFonts w:ascii="Times New Roman" w:cs="Times New Roman" w:eastAsia="Times New Roman" w:hAnsi="Times New Roman"/>
          <w:b/>
          <w:bCs/>
          <w:i w:val="false"/>
          <w:iCs w:val="false"/>
          <w:color w:val="1B3A6B"/>
          <w:sz w:val="22"/>
          <w:szCs w:val="22"/>
        </w:rPr>
        <w:t xml:space="preserve">Date : 31 août 2026  |  Leçon 13 / 20</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Objectif et continuité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l'issue de cette leçon, tu seras capable de distinguer vieillissement cérébral normal, troubles neurocognitifs légers (TNC léger) et troubles neurocognitifs majeurs (TNC majeur), d'identifier les principaux sous-types étiologiques, de repérer les manifestations cliniques dans les 6 domaines cognitifs du DSM-5, et de comprendre la distinction critique entre délirium et démence.</w:t>
      </w:r>
    </w:p>
    <w:p>
      <w:pPr>
        <w:spacing w:after="60" w:before="60"/>
        <w:ind/>
      </w:pPr>
      <w:r>
        <w:rPr>
          <w:rFonts w:ascii="Times New Roman" w:cs="Times New Roman" w:eastAsia="Times New Roman" w:hAnsi="Times New Roman"/>
          <w:b w:val="false"/>
          <w:bCs w:val="false"/>
          <w:i/>
          <w:iCs/>
          <w:color w:val="1B3A6B"/>
          <w:sz w:val="22"/>
          <w:szCs w:val="22"/>
        </w:rPr>
        <w:t xml:space="preserve">Continuité avec la leçon 12 (psychotraumatisme, TSPT, trouble dissociatif) : les deux leçons abordent des tableaux cliniques où la mémoire est centrale — mais dans des logiques opposées. Le TSPT implique une mémoire traumatique qui envahit et revit ; les TNC impliquent une mémoire qui s'efface et se fragmente. La comparaison éclaire la psychopathologie de la mémoire dans ses deux pôles extrêmes.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Théorie (20 %) — Fondements des troubles neurocognitifs</w:t>
      </w:r>
    </w:p>
    <w:p>
      <w:pPr>
        <w:pStyle w:val="Heading3"/>
        <w:spacing w:after="80" w:before="200"/>
      </w:pPr>
      <w:r>
        <w:rPr>
          <w:rFonts w:ascii="Times New Roman" w:cs="Times New Roman" w:eastAsia="Times New Roman" w:hAnsi="Times New Roman"/>
          <w:b/>
          <w:bCs/>
          <w:color w:val="1F2937"/>
          <w:sz w:val="26"/>
          <w:szCs w:val="26"/>
        </w:rPr>
        <w:t xml:space="preserve">1. Terminologie et évolution des classifications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terme « démence » (DSM-III, CIM-10) a été progressivement remplacé dans le DSM-5 (2013) par le concept de Trouble NeuroCognitif (TNC) pour deux raisons : d'abord, déstigmatiser — « démence » porte une connotation péjorative liée à la folie ; ensuite, affiner le spectre clinique en distinguant un continuum de sévérité.</w:t>
      </w:r>
    </w:p>
    <w:p>
      <w:pPr>
        <w:spacing w:after="60" w:before="60"/>
        <w:ind/>
      </w:pPr>
      <w:r>
        <w:rPr>
          <w:rFonts w:ascii="Times New Roman" w:cs="Times New Roman" w:eastAsia="Times New Roman" w:hAnsi="Times New Roman"/>
          <w:b/>
          <w:bCs/>
          <w:i w:val="false"/>
          <w:iCs w:val="false"/>
          <w:color w:val="1F2937"/>
          <w:sz w:val="22"/>
          <w:szCs w:val="22"/>
        </w:rPr>
        <w:t xml:space="preserve">Le DSM-5 définit trois catégories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Délirium (confusion aiguë) : altération soudaine de l'attention et de la conscience, réversible dans la majorité des cas, liée à une cause médicale aiguë (infection, déshydratation, médicaments, sevrage).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léger (ex-MCI, Mild Cognitive Impairment) : déclin modeste, testé objectivement, mais autonomie préservée — la personne s'adapte avec effort accru.</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majeur (ex-démence) : déclin significatif dans au moins un domaine, avec retentissement sur l'autonomie quotidienne, hors délirium concomitant.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CADRE DÉONTOLOGIQUE : poser un diagnostic de TNC est un acte médical réservé au médecin psychiatre, au neurologue ou au gériatre. En tant que professionnel non médical, ta posture est celle de l'observateur clinique rigoureux : noter, décrire, transmettre, orienter — jamais diagnostiquer.</w:t>
      </w:r>
    </w:p>
    <w:p>
      <w:pPr>
        <w:pStyle w:val="Heading3"/>
        <w:spacing w:after="80" w:before="200"/>
      </w:pPr>
      <w:r>
        <w:rPr>
          <w:rFonts w:ascii="Times New Roman" w:cs="Times New Roman" w:eastAsia="Times New Roman" w:hAnsi="Times New Roman"/>
          <w:b/>
          <w:bCs/>
          <w:color w:val="1F2937"/>
          <w:sz w:val="26"/>
          <w:szCs w:val="26"/>
        </w:rPr>
        <w:t xml:space="preserve">2. Les 6 domaines cognitifs du DSM-5</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Tout TNC est évalué selon l'atteinte de 6 domaines cognitifs. Cette grille est l'outil conceptuel central de la leçon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 cognitif</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Description clinique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Exemples observables en quotidien</w:t>
            </w:r>
          </w:p>
        </w:tc>
      </w:tr>
      <w:tr>
        <w:tc>
          <w:tcPr>
            <w:shd w:fill="FFFFFF" w:color="FFFFFF" w:val="solid"/>
          </w:tcPr>
          <w:p>
            <w:r>
              <w:rPr>
                <w:rFonts w:ascii="Times New Roman" w:cs="Times New Roman" w:eastAsia="Times New Roman" w:hAnsi="Times New Roman"/>
                <w:color w:val="1F2937"/>
                <w:sz w:val="20"/>
                <w:szCs w:val="20"/>
              </w:rPr>
              <w:t xml:space="preserve">Mémoire et apprentissage</w:t>
            </w:r>
          </w:p>
        </w:tc>
        <w:tc>
          <w:tcPr>
            <w:shd w:fill="FFFFFF" w:color="FFFFFF" w:val="solid"/>
          </w:tcPr>
          <w:p>
            <w:r>
              <w:rPr>
                <w:rFonts w:ascii="Times New Roman" w:cs="Times New Roman" w:eastAsia="Times New Roman" w:hAnsi="Times New Roman"/>
                <w:color w:val="1F2937"/>
                <w:sz w:val="20"/>
                <w:szCs w:val="20"/>
              </w:rPr>
              <w:t xml:space="preserve">Encodage, stockage, rappel d'informations</w:t>
            </w:r>
          </w:p>
        </w:tc>
        <w:tc>
          <w:tcPr>
            <w:shd w:fill="FFFFFF" w:color="FFFFFF" w:val="solid"/>
          </w:tcPr>
          <w:p>
            <w:r>
              <w:rPr>
                <w:rFonts w:ascii="Times New Roman" w:cs="Times New Roman" w:eastAsia="Times New Roman" w:hAnsi="Times New Roman"/>
                <w:color w:val="1F2937"/>
                <w:sz w:val="20"/>
                <w:szCs w:val="20"/>
              </w:rPr>
              <w:t xml:space="preserve">Répète les mêmes questions, oublie des événements récents, perd ses affaires</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Planification, initiation, inhibition, flexibilité</w:t>
            </w:r>
          </w:p>
        </w:tc>
        <w:tc>
          <w:tcPr>
            <w:shd w:fill="EEF2F7" w:color="EEF2F7" w:val="solid"/>
          </w:tcPr>
          <w:p>
            <w:r>
              <w:rPr>
                <w:rFonts w:ascii="Times New Roman" w:cs="Times New Roman" w:eastAsia="Times New Roman" w:hAnsi="Times New Roman"/>
                <w:color w:val="1F2937"/>
                <w:sz w:val="20"/>
                <w:szCs w:val="20"/>
              </w:rPr>
              <w:t xml:space="preserve">Ne peut plus gérer son budget, se perd dans une tâche multi-étapes</w:t>
            </w:r>
          </w:p>
        </w:tc>
      </w:tr>
      <w:tr>
        <w:tc>
          <w:tcPr>
            <w:shd w:fill="FFFFFF" w:color="FFFFFF" w:val="solid"/>
          </w:tcPr>
          <w:p>
            <w:r>
              <w:rPr>
                <w:rFonts w:ascii="Times New Roman" w:cs="Times New Roman" w:eastAsia="Times New Roman" w:hAnsi="Times New Roman"/>
                <w:color w:val="1F2937"/>
                <w:sz w:val="20"/>
                <w:szCs w:val="20"/>
              </w:rPr>
              <w:t xml:space="preserve">Attention complexe</w:t>
            </w:r>
          </w:p>
        </w:tc>
        <w:tc>
          <w:tcPr>
            <w:shd w:fill="FFFFFF" w:color="FFFFFF" w:val="solid"/>
          </w:tcPr>
          <w:p>
            <w:r>
              <w:rPr>
                <w:rFonts w:ascii="Times New Roman" w:cs="Times New Roman" w:eastAsia="Times New Roman" w:hAnsi="Times New Roman"/>
                <w:color w:val="1F2937"/>
                <w:sz w:val="20"/>
                <w:szCs w:val="20"/>
              </w:rPr>
              <w:t xml:space="preserve">Attention soutenue, divisée, sélective, vitesse de traitement</w:t>
            </w:r>
          </w:p>
        </w:tc>
        <w:tc>
          <w:tcPr>
            <w:shd w:fill="FFFFFF" w:color="FFFFFF" w:val="solid"/>
          </w:tcPr>
          <w:p>
            <w:r>
              <w:rPr>
                <w:rFonts w:ascii="Times New Roman" w:cs="Times New Roman" w:eastAsia="Times New Roman" w:hAnsi="Times New Roman"/>
                <w:color w:val="1F2937"/>
                <w:sz w:val="20"/>
                <w:szCs w:val="20"/>
              </w:rPr>
              <w:t xml:space="preserve">Se laisse distraire, ne suit plus une conversation, lenteur</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Fluence verbale, dénomination, compréhension, lecture/écriture</w:t>
            </w:r>
          </w:p>
        </w:tc>
        <w:tc>
          <w:tcPr>
            <w:shd w:fill="EEF2F7" w:color="EEF2F7" w:val="solid"/>
          </w:tcPr>
          <w:p>
            <w:r>
              <w:rPr>
                <w:rFonts w:ascii="Times New Roman" w:cs="Times New Roman" w:eastAsia="Times New Roman" w:hAnsi="Times New Roman"/>
                <w:color w:val="1F2937"/>
                <w:sz w:val="20"/>
                <w:szCs w:val="20"/>
              </w:rPr>
              <w:t xml:space="preserve">Cherche ses mots (manque du mot), phrases incomplètes, paraphasies</w:t>
            </w:r>
          </w:p>
        </w:tc>
      </w:tr>
      <w:tr>
        <w:tc>
          <w:tcPr>
            <w:shd w:fill="FFFFFF" w:color="FFFFFF" w:val="solid"/>
          </w:tcPr>
          <w:p>
            <w:r>
              <w:rPr>
                <w:rFonts w:ascii="Times New Roman" w:cs="Times New Roman" w:eastAsia="Times New Roman" w:hAnsi="Times New Roman"/>
                <w:color w:val="1F2937"/>
                <w:sz w:val="20"/>
                <w:szCs w:val="20"/>
              </w:rPr>
              <w:t xml:space="preserve">Cognition perceptivo-motrice</w:t>
            </w:r>
          </w:p>
        </w:tc>
        <w:tc>
          <w:tcPr>
            <w:shd w:fill="FFFFFF" w:color="FFFFFF" w:val="solid"/>
          </w:tcPr>
          <w:p>
            <w:r>
              <w:rPr>
                <w:rFonts w:ascii="Times New Roman" w:cs="Times New Roman" w:eastAsia="Times New Roman" w:hAnsi="Times New Roman"/>
                <w:color w:val="1F2937"/>
                <w:sz w:val="20"/>
                <w:szCs w:val="20"/>
              </w:rPr>
              <w:t xml:space="preserve">Praxies constructives, perception visuo-spatiale, gnosies</w:t>
            </w:r>
          </w:p>
        </w:tc>
        <w:tc>
          <w:tcPr>
            <w:shd w:fill="FFFFFF" w:color="FFFFFF" w:val="solid"/>
          </w:tcPr>
          <w:p>
            <w:r>
              <w:rPr>
                <w:rFonts w:ascii="Times New Roman" w:cs="Times New Roman" w:eastAsia="Times New Roman" w:hAnsi="Times New Roman"/>
                <w:color w:val="1F2937"/>
                <w:sz w:val="20"/>
                <w:szCs w:val="20"/>
              </w:rPr>
              <w:t xml:space="preserve">Se perd dans un lieu familier, ne reconnaît plus les visages (prosopagnosie)</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Reconnaissance des émotions, théorie de l'esprit, comportement social</w:t>
            </w:r>
          </w:p>
        </w:tc>
        <w:tc>
          <w:tcPr>
            <w:shd w:fill="EEF2F7" w:color="EEF2F7" w:val="solid"/>
          </w:tcPr>
          <w:p>
            <w:r>
              <w:rPr>
                <w:rFonts w:ascii="Times New Roman" w:cs="Times New Roman" w:eastAsia="Times New Roman" w:hAnsi="Times New Roman"/>
                <w:color w:val="1F2937"/>
                <w:sz w:val="20"/>
                <w:szCs w:val="20"/>
              </w:rPr>
              <w:t xml:space="preserve">Désinhibition, comportements inappropriés, perte d'empathie</w:t>
            </w:r>
          </w:p>
        </w:tc>
      </w:tr>
    </w:tbl>
    <w:p>
      <w:pPr>
        <w:pStyle w:val="Heading3"/>
        <w:spacing w:after="80" w:before="200"/>
      </w:pPr>
      <w:r>
        <w:rPr>
          <w:rFonts w:ascii="Times New Roman" w:cs="Times New Roman" w:eastAsia="Times New Roman" w:hAnsi="Times New Roman"/>
          <w:b/>
          <w:bCs/>
          <w:color w:val="1F2937"/>
          <w:sz w:val="26"/>
          <w:szCs w:val="26"/>
        </w:rPr>
        <w:t xml:space="preserve">3. Les principaux sous-types étiologiques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TNC majeur n'est pas une maladie unique mais un syndrome aux multiples causes. La distinction étiologique oriente la prise en charge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Maladie d'Alzheimer (60-70 % des cas) : atteinte de mémoire épisodique en premier, évolution progressive et irréversible, dépôts amyloïdes et dégénérescence neurofibrillaire.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vasculaire (2e rang) : début brutal ou « en marches d'escalier », signes neurologiques focaux, troubles exécutifs et comportementaux précoces, lié à des lésions cérébrales vasculaires ischémiques ou hémorragiques.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à corps de Lewy : fluctuations cognitives marquées, hallucinations visuelles précoces et détaillées, syndrome parkinsonien, trouble du comportement en sommeil REM.</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Dégénérescence frontotemporale (DFT) : désinhibition comportementale et/ou troubles du langage précoces, atteinte de la mémoire tardive — souvent confondue avec des troubles psychiatriques ou relationnels.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Formes mixtes Alzheimer + vasculaire : fréquentes en pratique clinique, les deux composantes coexistent et s'intriquent.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Distinction critique : DÉLIRIUM ≠ DÉMENCE. Le délirium est aigu (heures à jours), fluctuant, avec altération de la conscience et désorientation marquée, généralement réversible si la cause est traitée. La démence est chronique, progressive, la conscience est intacte en début d'évolution. ATTENTION : 49 % des patients hospitalisés atteints de TNC majeur présentent un épisode de délirium surajouté — cette superposition est une erreur diagnostique fréquente (source : Merck Manual).</w:t>
      </w:r>
    </w:p>
    <w:p>
      <w:pPr>
        <w:pStyle w:val="Heading3"/>
        <w:spacing w:after="80" w:before="200"/>
      </w:pPr>
      <w:r>
        <w:rPr>
          <w:rFonts w:ascii="Times New Roman" w:cs="Times New Roman" w:eastAsia="Times New Roman" w:hAnsi="Times New Roman"/>
          <w:b/>
          <w:bCs/>
          <w:color w:val="1F2937"/>
          <w:sz w:val="26"/>
          <w:szCs w:val="26"/>
        </w:rPr>
        <w:t xml:space="preserve">4. CIM-11 vs DSM-5 : points de convergence et nuances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La CIM-11 (OMS, en vigueur) rapproche sa classification du DSM-5 en intégrant la distinction TNC léger / TNC majeur et les 6 domaines cognitifs. La CIM-10 (antérieure) utilisait la catégorie F06.7 « trouble cognitif léger » avec un accent fort sur l'étiologie organique identifiable. La convergence progressive des deux systèmes facilite la communication internationale et la recherche.</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domaines cognitifs atteints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Lis les 6 vignettes ci-dessous. Pour chacune, identifie le(s) domaine(s) cognitif(s) atteints selon la grille DSM-5 des 6 domaines, et indique si le tableau évoque plutôt un TNC léger, un TNC majeur ou un délirium. Justifie en une phrase.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A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V., 74 ans, répète 3 fois la même question en 10 minutes. Elle sait encore qu'elle est chez elle, gère son carnet d'adresses, mais oublie systématiquement les rendez-vous récents si elle ne les note pas immédiatement.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B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R., 81 ans, est hospitalisé pour une infection urinaire. Depuis hier soir, il est agité, reconnaît difficilement sa fille, dit voir des « hommes dans la chambre » et son état fluctue d'une heure à l'autre.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C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S., 68 ans, n'a plus de problème de mémoire notable, mais son mari signale qu'elle a fait 3 accidents de voiture ce trimestre, ne reconnaît plus son chemin habituel vers le marché et a du mal à s'orienter dans les espaces.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D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L., 77 ans, gère encore son agenda mais a besoin d'aide pour préparer son repas — il commence, oublie la séquence, laisse le gaz allumé. Sa femme note aussi qu'il a du mal à gérer ses médicaments pourtant simples.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E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A., 72 ans, était directrice commerciale. Depuis 2 ans, elle fait des blagues inappropriées en public, a perdu ses filtres sociaux, dépense sans compter. Sa mémoire des faits récents est relativement préservée.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F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C., 83 ans, hallucine des personnages détaillés chaque soir, a des chutes fréquentes, et ses capacités cognitives varient énormément d'un jour à l'autre — certains matins il est parfaitement lucide, certains après-midis totalement confus.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 Corrigé — Exercice 1</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A : domaine Mémoire/apprentissage atteint. Autonomie préservée avec compensation (carnet). → TNC léger probable.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B : fluctuation brutale de la conscience, hallucinations visuelles, désorientation temporelle, dans un contexte infectieux aigu. → Délirium (confusion aiguë). À distinguer d'un TNC préexistant aggravé — les deux peuvent coexister.</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C : accidents de voiture répétés, perte d'orientation spatiale dans des lieux familiers, difficulté à s'orienter dans l'espace. → Domaine Cognition perceptivo-motrice (visuo-spatiale, praxies) atteint. Mémoire intacte → TNC à dominante visuospatiale, évocateur de corps de Lewy ou de DFT ou d'atteinte pariétale.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D : la mémoire est atteinte (oubli de séquences) ET les fonctions exécutives (planification, initiation, séquençage d'une tâche multi-étapes). Retentissement sur les activités quotidiennes avec nécessité d'aide. → TNC majeur (léger à modéré selon sévérité).</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E : désinhibition sociale, dépenses impulsives, perte des filtres comportementaux, mémoire préservée. → Domaine Cognition sociale et Fonctions exécutives (inhibition altérée). Profil évocateur d'une Dégénérescence Frontotemporale (variant comportemental).</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F : hallucinations visuelles détaillées le soir, chutes (syndrome parkinsonien), fluctuations cognitives importantes jour/jour. → Profil très évocateur de Démence à corps de Lewy. Les domaines atteints : Attention (fluctuations), Cognition perceptivo-motrice (chutes), Cognition sociale (hallucinations). → TNC majeur.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Note clinique : ces vignettes illustrent la diversité des sous-types et l'importance de ne pas réduire les TNC à la seule mémoire. En pratique en ESSMS, observer et décrire précisément le domaine atteint permet d'orienter vers le bon professionnel (neurologue, gériatre, psychiatre).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Délirium ou démence ? Tableau de distinction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partir de tes connaissances et de la leçon, complète ce tableau comparatif. Pour chaque dimension, indique la caractéristique du délirium, puis celle du TNC majeur. La correction suit immédiatement.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Dimension</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Délirium</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TNC majeur</w:t>
            </w:r>
          </w:p>
        </w:tc>
      </w:tr>
      <w:tr>
        <w:tc>
          <w:tcPr>
            <w:shd w:fill="FFFFFF" w:color="FFFFFF" w:val="solid"/>
          </w:tcPr>
          <w:p>
            <w:r>
              <w:rPr>
                <w:rFonts w:ascii="Times New Roman" w:cs="Times New Roman" w:eastAsia="Times New Roman" w:hAnsi="Times New Roman"/>
                <w:color w:val="1F2937"/>
                <w:sz w:val="20"/>
                <w:szCs w:val="20"/>
              </w:rPr>
              <w:t xml:space="preserve">Début</w:t>
            </w:r>
          </w:p>
        </w:tc>
        <w:tc>
          <w:tcPr>
            <w:shd w:fill="FFFFFF" w:color="FFFFFF" w:val="solid"/>
          </w:tcPr>
          <w:p>
            <w:r>
              <w:rPr>
                <w:rFonts w:ascii="Times New Roman" w:cs="Times New Roman" w:eastAsia="Times New Roman" w:hAnsi="Times New Roman"/>
                <w:color w:val="1F2937"/>
                <w:sz w:val="20"/>
                <w:szCs w:val="20"/>
              </w:rPr>
              <w:t xml:space="preserve">Soudain (heures / jours) — point de départ identifiable</w:t>
            </w:r>
          </w:p>
        </w:tc>
        <w:tc>
          <w:tcPr>
            <w:shd w:fill="FFFFFF" w:color="FFFFFF" w:val="solid"/>
          </w:tcPr>
          <w:p>
            <w:r>
              <w:rPr>
                <w:rFonts w:ascii="Times New Roman" w:cs="Times New Roman" w:eastAsia="Times New Roman" w:hAnsi="Times New Roman"/>
                <w:color w:val="1F2937"/>
                <w:sz w:val="20"/>
                <w:szCs w:val="20"/>
              </w:rPr>
              <w:t xml:space="preserve">Progressif, insidieux — début incertain</w:t>
            </w:r>
          </w:p>
        </w:tc>
      </w:tr>
      <w:tr>
        <w:tc>
          <w:tcPr>
            <w:shd w:fill="EEF2F7" w:color="EEF2F7" w:val="solid"/>
          </w:tcPr>
          <w:p>
            <w:r>
              <w:rPr>
                <w:rFonts w:ascii="Times New Roman" w:cs="Times New Roman" w:eastAsia="Times New Roman" w:hAnsi="Times New Roman"/>
                <w:color w:val="1F2937"/>
                <w:sz w:val="20"/>
                <w:szCs w:val="20"/>
              </w:rPr>
              <w:t xml:space="preserve">Durée</w:t>
            </w:r>
          </w:p>
        </w:tc>
        <w:tc>
          <w:tcPr>
            <w:shd w:fill="EEF2F7" w:color="EEF2F7" w:val="solid"/>
          </w:tcPr>
          <w:p>
            <w:r>
              <w:rPr>
                <w:rFonts w:ascii="Times New Roman" w:cs="Times New Roman" w:eastAsia="Times New Roman" w:hAnsi="Times New Roman"/>
                <w:color w:val="1F2937"/>
                <w:sz w:val="20"/>
                <w:szCs w:val="20"/>
              </w:rPr>
              <w:t xml:space="preserve">Jours à semaines (réversible si cause traitée)</w:t>
            </w:r>
          </w:p>
        </w:tc>
        <w:tc>
          <w:tcPr>
            <w:shd w:fill="EEF2F7" w:color="EEF2F7" w:val="solid"/>
          </w:tcPr>
          <w:p>
            <w:r>
              <w:rPr>
                <w:rFonts w:ascii="Times New Roman" w:cs="Times New Roman" w:eastAsia="Times New Roman" w:hAnsi="Times New Roman"/>
                <w:color w:val="1F2937"/>
                <w:sz w:val="20"/>
                <w:szCs w:val="20"/>
              </w:rPr>
              <w:t xml:space="preserve">Permanent, évolution sur des mois/années</w:t>
            </w:r>
          </w:p>
        </w:tc>
      </w:tr>
      <w:tr>
        <w:tc>
          <w:tcPr>
            <w:shd w:fill="FFFFFF" w:color="FFFFFF" w:val="solid"/>
          </w:tcPr>
          <w:p>
            <w:r>
              <w:rPr>
                <w:rFonts w:ascii="Times New Roman" w:cs="Times New Roman" w:eastAsia="Times New Roman" w:hAnsi="Times New Roman"/>
                <w:color w:val="1F2937"/>
                <w:sz w:val="20"/>
                <w:szCs w:val="20"/>
              </w:rPr>
              <w:t xml:space="preserve">Conscience</w:t>
            </w:r>
          </w:p>
        </w:tc>
        <w:tc>
          <w:tcPr>
            <w:shd w:fill="FFFFFF" w:color="FFFFFF" w:val="solid"/>
          </w:tcPr>
          <w:p>
            <w:r>
              <w:rPr>
                <w:rFonts w:ascii="Times New Roman" w:cs="Times New Roman" w:eastAsia="Times New Roman" w:hAnsi="Times New Roman"/>
                <w:color w:val="1F2937"/>
                <w:sz w:val="20"/>
                <w:szCs w:val="20"/>
              </w:rPr>
              <w:t xml:space="preserve">Altérée (fluctuante) : le patient n'est plus pleinement conscient de son environnement</w:t>
            </w:r>
          </w:p>
        </w:tc>
        <w:tc>
          <w:tcPr>
            <w:shd w:fill="FFFFFF" w:color="FFFFFF" w:val="solid"/>
          </w:tcPr>
          <w:p>
            <w:r>
              <w:rPr>
                <w:rFonts w:ascii="Times New Roman" w:cs="Times New Roman" w:eastAsia="Times New Roman" w:hAnsi="Times New Roman"/>
                <w:color w:val="1F2937"/>
                <w:sz w:val="20"/>
                <w:szCs w:val="20"/>
              </w:rPr>
              <w:t xml:space="preserve">Intacte aux stades précoces</w:t>
            </w:r>
          </w:p>
        </w:tc>
      </w:tr>
      <w:tr>
        <w:tc>
          <w:tcPr>
            <w:shd w:fill="EEF2F7" w:color="EEF2F7" w:val="solid"/>
          </w:tcPr>
          <w:p>
            <w:r>
              <w:rPr>
                <w:rFonts w:ascii="Times New Roman" w:cs="Times New Roman" w:eastAsia="Times New Roman" w:hAnsi="Times New Roman"/>
                <w:color w:val="1F2937"/>
                <w:sz w:val="20"/>
                <w:szCs w:val="20"/>
              </w:rPr>
              <w:t xml:space="preserve">Attention</w:t>
            </w:r>
          </w:p>
        </w:tc>
        <w:tc>
          <w:tcPr>
            <w:shd w:fill="EEF2F7" w:color="EEF2F7" w:val="solid"/>
          </w:tcPr>
          <w:p>
            <w:r>
              <w:rPr>
                <w:rFonts w:ascii="Times New Roman" w:cs="Times New Roman" w:eastAsia="Times New Roman" w:hAnsi="Times New Roman"/>
                <w:color w:val="1F2937"/>
                <w:sz w:val="20"/>
                <w:szCs w:val="20"/>
              </w:rPr>
              <w:t xml:space="preserve">Gravement altérée, fluctuante</w:t>
            </w:r>
          </w:p>
        </w:tc>
        <w:tc>
          <w:tcPr>
            <w:shd w:fill="EEF2F7" w:color="EEF2F7" w:val="solid"/>
          </w:tcPr>
          <w:p>
            <w:r>
              <w:rPr>
                <w:rFonts w:ascii="Times New Roman" w:cs="Times New Roman" w:eastAsia="Times New Roman" w:hAnsi="Times New Roman"/>
                <w:color w:val="1F2937"/>
                <w:sz w:val="20"/>
                <w:szCs w:val="20"/>
              </w:rPr>
              <w:t xml:space="preserve">Relativement préservée en début d'évolution</w:t>
            </w:r>
          </w:p>
        </w:tc>
      </w:tr>
      <w:tr>
        <w:tc>
          <w:tcPr>
            <w:shd w:fill="FFFFFF" w:color="FFFFFF" w:val="solid"/>
          </w:tcPr>
          <w:p>
            <w:r>
              <w:rPr>
                <w:rFonts w:ascii="Times New Roman" w:cs="Times New Roman" w:eastAsia="Times New Roman" w:hAnsi="Times New Roman"/>
                <w:color w:val="1F2937"/>
                <w:sz w:val="20"/>
                <w:szCs w:val="20"/>
              </w:rPr>
              <w:t xml:space="preserve">Cause</w:t>
            </w:r>
          </w:p>
        </w:tc>
        <w:tc>
          <w:tcPr>
            <w:shd w:fill="FFFFFF" w:color="FFFFFF" w:val="solid"/>
          </w:tcPr>
          <w:p>
            <w:r>
              <w:rPr>
                <w:rFonts w:ascii="Times New Roman" w:cs="Times New Roman" w:eastAsia="Times New Roman" w:hAnsi="Times New Roman"/>
                <w:color w:val="1F2937"/>
                <w:sz w:val="20"/>
                <w:szCs w:val="20"/>
              </w:rPr>
              <w:t xml:space="preserve">Aiguë et identifiable : infection, déshydratation, médicaments, sevrage, chirurgie</w:t>
            </w:r>
          </w:p>
        </w:tc>
        <w:tc>
          <w:tcPr>
            <w:shd w:fill="FFFFFF" w:color="FFFFFF" w:val="solid"/>
          </w:tcPr>
          <w:p>
            <w:r>
              <w:rPr>
                <w:rFonts w:ascii="Times New Roman" w:cs="Times New Roman" w:eastAsia="Times New Roman" w:hAnsi="Times New Roman"/>
                <w:color w:val="1F2937"/>
                <w:sz w:val="20"/>
                <w:szCs w:val="20"/>
              </w:rPr>
              <w:t xml:space="preserve">Dégénérative ou vasculaire chronique</w:t>
            </w:r>
          </w:p>
        </w:tc>
      </w:tr>
      <w:tr>
        <w:tc>
          <w:tcPr>
            <w:shd w:fill="EEF2F7" w:color="EEF2F7" w:val="solid"/>
          </w:tcPr>
          <w:p>
            <w:r>
              <w:rPr>
                <w:rFonts w:ascii="Times New Roman" w:cs="Times New Roman" w:eastAsia="Times New Roman" w:hAnsi="Times New Roman"/>
                <w:color w:val="1F2937"/>
                <w:sz w:val="20"/>
                <w:szCs w:val="20"/>
              </w:rPr>
              <w:t xml:space="preserve">Réversibilité</w:t>
            </w:r>
          </w:p>
        </w:tc>
        <w:tc>
          <w:tcPr>
            <w:shd w:fill="EEF2F7" w:color="EEF2F7" w:val="solid"/>
          </w:tcPr>
          <w:p>
            <w:r>
              <w:rPr>
                <w:rFonts w:ascii="Times New Roman" w:cs="Times New Roman" w:eastAsia="Times New Roman" w:hAnsi="Times New Roman"/>
                <w:color w:val="1F2937"/>
                <w:sz w:val="20"/>
                <w:szCs w:val="20"/>
              </w:rPr>
              <w:t xml:space="preserve">Habituellement réversible si cause traitée rapidement</w:t>
            </w:r>
          </w:p>
        </w:tc>
        <w:tc>
          <w:tcPr>
            <w:shd w:fill="EEF2F7" w:color="EEF2F7" w:val="solid"/>
          </w:tcPr>
          <w:p>
            <w:r>
              <w:rPr>
                <w:rFonts w:ascii="Times New Roman" w:cs="Times New Roman" w:eastAsia="Times New Roman" w:hAnsi="Times New Roman"/>
                <w:color w:val="1F2937"/>
                <w:sz w:val="20"/>
                <w:szCs w:val="20"/>
              </w:rPr>
              <w:t xml:space="preserve">Généralement irréversible</w:t>
            </w:r>
          </w:p>
        </w:tc>
      </w:tr>
      <w:tr>
        <w:tc>
          <w:tcPr>
            <w:shd w:fill="FFFFFF" w:color="FFFFFF" w:val="solid"/>
          </w:tcPr>
          <w:p>
            <w:r>
              <w:rPr>
                <w:rFonts w:ascii="Times New Roman" w:cs="Times New Roman" w:eastAsia="Times New Roman" w:hAnsi="Times New Roman"/>
                <w:color w:val="1F2937"/>
                <w:sz w:val="20"/>
                <w:szCs w:val="20"/>
              </w:rPr>
              <w:t xml:space="preserve">Hallucinations</w:t>
            </w:r>
          </w:p>
        </w:tc>
        <w:tc>
          <w:tcPr>
            <w:shd w:fill="FFFFFF" w:color="FFFFFF" w:val="solid"/>
          </w:tcPr>
          <w:p>
            <w:r>
              <w:rPr>
                <w:rFonts w:ascii="Times New Roman" w:cs="Times New Roman" w:eastAsia="Times New Roman" w:hAnsi="Times New Roman"/>
                <w:color w:val="1F2937"/>
                <w:sz w:val="20"/>
                <w:szCs w:val="20"/>
              </w:rPr>
              <w:t xml:space="preserve">Fréquentes (visuelles ++), liées aux fluctuations de conscience</w:t>
            </w:r>
          </w:p>
        </w:tc>
        <w:tc>
          <w:tcPr>
            <w:shd w:fill="FFFFFF" w:color="FFFFFF" w:val="solid"/>
          </w:tcPr>
          <w:p>
            <w:r>
              <w:rPr>
                <w:rFonts w:ascii="Times New Roman" w:cs="Times New Roman" w:eastAsia="Times New Roman" w:hAnsi="Times New Roman"/>
                <w:color w:val="1F2937"/>
                <w:sz w:val="20"/>
                <w:szCs w:val="20"/>
              </w:rPr>
              <w:t xml:space="preserve">Présentes selon le sous-type (corps de Lewy ++)</w:t>
            </w:r>
          </w:p>
        </w:tc>
      </w:tr>
      <w:tr>
        <w:tc>
          <w:tcPr>
            <w:shd w:fill="EEF2F7" w:color="EEF2F7" w:val="solid"/>
          </w:tcPr>
          <w:p>
            <w:r>
              <w:rPr>
                <w:rFonts w:ascii="Times New Roman" w:cs="Times New Roman" w:eastAsia="Times New Roman" w:hAnsi="Times New Roman"/>
                <w:color w:val="1F2937"/>
                <w:sz w:val="20"/>
                <w:szCs w:val="20"/>
              </w:rPr>
              <w:t xml:space="preserve">Risque de superposition</w:t>
            </w:r>
          </w:p>
        </w:tc>
        <w:tc>
          <w:tcPr>
            <w:shd w:fill="EEF2F7" w:color="EEF2F7" w:val="solid"/>
          </w:tcPr>
          <w:p>
            <w:r>
              <w:rPr>
                <w:rFonts w:ascii="Times New Roman" w:cs="Times New Roman" w:eastAsia="Times New Roman" w:hAnsi="Times New Roman"/>
                <w:color w:val="1F2937"/>
                <w:sz w:val="20"/>
                <w:szCs w:val="20"/>
              </w:rPr>
              <w:t xml:space="preserve">49 % des TNC majeurs hospitalisés développent un délirium surajouté</w:t>
            </w:r>
          </w:p>
        </w:tc>
        <w:tc>
          <w:tcPr>
            <w:shd w:fill="EEF2F7" w:color="EEF2F7" w:val="solid"/>
          </w:tcPr>
          <w:p>
            <w:r>
              <w:rPr>
                <w:rFonts w:ascii="Times New Roman" w:cs="Times New Roman" w:eastAsia="Times New Roman" w:hAnsi="Times New Roman"/>
                <w:color w:val="1F2937"/>
                <w:sz w:val="20"/>
                <w:szCs w:val="20"/>
              </w:rPr>
              <w:t xml:space="preserve">Le délirium masque / aggrave le tableau</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Pourquoi cette distinction est-elle cruciale ? Un délirium mal reconnu (confondu avec une démence) retarde le traitement de la cause médicale sous-jacente et aggrave le pronostic. À l'inverse, diagnostiquer un délirium à la place d'une démence sous-jacente passe à côté d'un accompagnement long terme nécessaire.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Analyse de parcours : progression de la maladie d'Alzheimer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Ci-dessous, une vignette longitudinale en 3 temps. Pour chaque stade, identifie : (a) le niveau de sévérité du TNC selon le DSM-5, (b) les domaines cognitifs principalement atteints, (c) le retentissement probable sur l'autonomie.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1 — M. D., 71 ans (il y a 4 ans)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Sa femme remarque qu'il oublie les prénoms de collègues récents. Il gère encore seul toutes ses activités, conduit, fait ses courses, mais compense en prenant beaucoup de notes.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2 — M. D., 74 ans (il y a 1 an)</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a dû arrêter de conduire après deux incidents. Il ne prépare plus les repas (oublie les étapes). Il reconnaît encore tous ses proches, mais a besoin d'aide pour gérer ses médicaments et son budget.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3 — M. D., 75 ans (aujourd'hui)</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ne reconnaît plus sa fille. Il ne peut plus manger seul, confond parfois le jour et la nuit. Des épisodes d'agitation nocturne apparaissent. Il ne parle plus qu'en mots isolés.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pStyle w:val="Heading3"/>
        <w:spacing w:after="80" w:before="200"/>
      </w:pPr>
      <w:r>
        <w:rPr>
          <w:rFonts w:ascii="Times New Roman" w:cs="Times New Roman" w:eastAsia="Times New Roman" w:hAnsi="Times New Roman"/>
          <w:b/>
          <w:bCs/>
          <w:color w:val="1F2937"/>
          <w:sz w:val="26"/>
          <w:szCs w:val="26"/>
        </w:rPr>
        <w:t xml:space="preserve">✅ Corrigé — Exercice 3</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1 : TNC léger. Domaine atteint : mémoire épisodique (noms, événements). Autonomie préservée grâce à la compensation. La gestion de toutes les activités reste possible sans aide extérieure.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2 : TNC majeur de sévérité légère à modérée. Domaines atteints : mémoire (séquences), fonctions exécutives (planification du repas, gestion budget), cognition perceptivo-motrice (conduite). Retentissement : aide nécessaire pour les activités instrumentales (médicaments, budget, cuisine) — les activités de base (toilette, alimentation) restent possibles.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3 : TNC majeur de sévérité sévère. Domaines atteints : mémoire (ne reconnaît plus les proches — agnosie des personnes), langage (mots isolés), fonctions exécutives, attention, cognition sociale. Retentissement : dépendance totale pour les actes de base (alimentation). Les troubles du comportement (agitation nocturne) caractérisent ce stade avancé.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Challenge — Dépistage et observation en milieu éducatif</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Ce challenge mobilise l'ensemble de la leçon. Il comporte deux parties.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A — Construire une grille d'observation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Sur la base des 6 domaines cognitifs du DSM-5, crée une grille d'observation à destination d'une équipe éducative (AES, moniteurs-éducateurs) pour une personne accompagnée en foyer d'hébergement présentant des signes de déclin cognitif.</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Pour chaque domaine, propose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2 indicateurs observables dans la vie quotidienne (sans outil de test)</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1 question à poser à la personne ou à un proche</w:t>
      </w:r>
    </w:p>
    <w:p>
      <w:pPr>
        <w:spacing w:after="60" w:before="60"/>
        <w:ind w:left="360"/>
      </w:pPr>
      <w:r>
        <w:rPr>
          <w:rFonts w:ascii="Times New Roman" w:cs="Times New Roman" w:eastAsia="Times New Roman" w:hAnsi="Times New Roman"/>
          <w:b w:val="false"/>
          <w:bCs w:val="false"/>
          <w:i/>
          <w:iCs/>
          <w:color w:val="1F2937"/>
          <w:sz w:val="22"/>
          <w:szCs w:val="22"/>
        </w:rPr>
        <w:t xml:space="preserve">Rappel : il ne s'agit pas de diagnostiquer, mais de décrire ce qui est observé pour transmettre à l'équipe médicale.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Distinguer et orienter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Un résident de ton foyer (45 ans, handicap mental léger) présente depuis 3 semaines des oublis fréquents, une confusion nocturne et une agitation inhabituelle. Une première hypothèse est posée : TNC majeur précoce. Quelle contre-hypothèse diagnostique principale dois-tu soulever ? Quels signes permettraient de la distinguer ? Vers quel professionnel orienter en priorité ?</w:t>
      </w:r>
    </w:p>
    <w:p>
      <w:pPr>
        <w:pStyle w:val="Heading3"/>
        <w:spacing w:after="80" w:before="200"/>
      </w:pPr>
      <w:r>
        <w:rPr>
          <w:rFonts w:ascii="Times New Roman" w:cs="Times New Roman" w:eastAsia="Times New Roman" w:hAnsi="Times New Roman"/>
          <w:b/>
          <w:bCs/>
          <w:color w:val="1F2937"/>
          <w:sz w:val="26"/>
          <w:szCs w:val="26"/>
        </w:rPr>
        <w:t xml:space="preserve">✅ Corrigé — Challenge</w:t>
      </w:r>
    </w:p>
    <w:p>
      <w:pPr>
        <w:spacing w:after="60" w:before="60"/>
        <w:ind/>
      </w:pPr>
      <w:r>
        <w:rPr>
          <w:rFonts w:ascii="Times New Roman" w:cs="Times New Roman" w:eastAsia="Times New Roman" w:hAnsi="Times New Roman"/>
          <w:b/>
          <w:bCs/>
          <w:i w:val="false"/>
          <w:iCs w:val="false"/>
          <w:color w:val="1F2937"/>
          <w:sz w:val="22"/>
          <w:szCs w:val="22"/>
        </w:rPr>
        <w:t xml:space="preserve">PARTIE A — Éléments de réponse indicatifs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Indicateurs observables</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Question à poser</w:t>
            </w:r>
          </w:p>
        </w:tc>
      </w:tr>
      <w:tr>
        <w:tc>
          <w:tcPr>
            <w:shd w:fill="FFFFFF" w:color="FFFFFF" w:val="solid"/>
          </w:tcPr>
          <w:p>
            <w:r>
              <w:rPr>
                <w:rFonts w:ascii="Times New Roman" w:cs="Times New Roman" w:eastAsia="Times New Roman" w:hAnsi="Times New Roman"/>
                <w:color w:val="1F2937"/>
                <w:sz w:val="20"/>
                <w:szCs w:val="20"/>
              </w:rPr>
              <w:t xml:space="preserve">Mémoire/apprentissage</w:t>
            </w:r>
          </w:p>
        </w:tc>
        <w:tc>
          <w:tcPr>
            <w:shd w:fill="FFFFFF" w:color="FFFFFF" w:val="solid"/>
          </w:tcPr>
          <w:p>
            <w:r>
              <w:rPr>
                <w:rFonts w:ascii="Times New Roman" w:cs="Times New Roman" w:eastAsia="Times New Roman" w:hAnsi="Times New Roman"/>
                <w:color w:val="1F2937"/>
                <w:sz w:val="20"/>
                <w:szCs w:val="20"/>
              </w:rPr>
              <w:t xml:space="preserve">Répète les mêmes questions / Ne retrouve plus ses affaires habituelles</w:t>
            </w:r>
          </w:p>
        </w:tc>
        <w:tc>
          <w:tcPr>
            <w:shd w:fill="FFFFFF" w:color="FFFFFF" w:val="solid"/>
          </w:tcPr>
          <w:p>
            <w:r>
              <w:rPr>
                <w:rFonts w:ascii="Times New Roman" w:cs="Times New Roman" w:eastAsia="Times New Roman" w:hAnsi="Times New Roman"/>
                <w:color w:val="1F2937"/>
                <w:sz w:val="20"/>
                <w:szCs w:val="20"/>
              </w:rPr>
              <w:t xml:space="preserve">« Tu te souviens de ce que tu as fait hier matin ? »</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Abandonne une tâche en cours / Ne suit plus les étapes d'une recette connue</w:t>
            </w:r>
          </w:p>
        </w:tc>
        <w:tc>
          <w:tcPr>
            <w:shd w:fill="EEF2F7" w:color="EEF2F7" w:val="solid"/>
          </w:tcPr>
          <w:p>
            <w:r>
              <w:rPr>
                <w:rFonts w:ascii="Times New Roman" w:cs="Times New Roman" w:eastAsia="Times New Roman" w:hAnsi="Times New Roman"/>
                <w:color w:val="1F2937"/>
                <w:sz w:val="20"/>
                <w:szCs w:val="20"/>
              </w:rPr>
              <w:t xml:space="preserve">« Est-ce que tu peux me raconter comment tu prépares ton café ? »</w:t>
            </w:r>
          </w:p>
        </w:tc>
      </w:tr>
      <w:tr>
        <w:tc>
          <w:tcPr>
            <w:shd w:fill="FFFFFF" w:color="FFFFFF" w:val="solid"/>
          </w:tcPr>
          <w:p>
            <w:r>
              <w:rPr>
                <w:rFonts w:ascii="Times New Roman" w:cs="Times New Roman" w:eastAsia="Times New Roman" w:hAnsi="Times New Roman"/>
                <w:color w:val="1F2937"/>
                <w:sz w:val="20"/>
                <w:szCs w:val="20"/>
              </w:rPr>
              <w:t xml:space="preserve">Attention</w:t>
            </w:r>
          </w:p>
        </w:tc>
        <w:tc>
          <w:tcPr>
            <w:shd w:fill="FFFFFF" w:color="FFFFFF" w:val="solid"/>
          </w:tcPr>
          <w:p>
            <w:r>
              <w:rPr>
                <w:rFonts w:ascii="Times New Roman" w:cs="Times New Roman" w:eastAsia="Times New Roman" w:hAnsi="Times New Roman"/>
                <w:color w:val="1F2937"/>
                <w:sz w:val="20"/>
                <w:szCs w:val="20"/>
              </w:rPr>
              <w:t xml:space="preserve">Ne finit plus un repas sans se lever / Ne tient plus une conversation de 5 min</w:t>
            </w:r>
          </w:p>
        </w:tc>
        <w:tc>
          <w:tcPr>
            <w:shd w:fill="FFFFFF" w:color="FFFFFF" w:val="solid"/>
          </w:tcPr>
          <w:p>
            <w:r>
              <w:rPr>
                <w:rFonts w:ascii="Times New Roman" w:cs="Times New Roman" w:eastAsia="Times New Roman" w:hAnsi="Times New Roman"/>
                <w:color w:val="1F2937"/>
                <w:sz w:val="20"/>
                <w:szCs w:val="20"/>
              </w:rPr>
              <w:t xml:space="preserve">« Tu as du mal à te concentrer ces derniers temps ? »</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Cherche ses mots, s'arrête au milieu d'une phrase, utilise « truc » / « machin »</w:t>
            </w:r>
          </w:p>
        </w:tc>
        <w:tc>
          <w:tcPr>
            <w:shd w:fill="EEF2F7" w:color="EEF2F7" w:val="solid"/>
          </w:tcPr>
          <w:p>
            <w:r>
              <w:rPr>
                <w:rFonts w:ascii="Times New Roman" w:cs="Times New Roman" w:eastAsia="Times New Roman" w:hAnsi="Times New Roman"/>
                <w:color w:val="1F2937"/>
                <w:sz w:val="20"/>
                <w:szCs w:val="20"/>
              </w:rPr>
              <w:t xml:space="preserve">« Comment tu appelles ça ? » (en montrant un objet)</w:t>
            </w:r>
          </w:p>
        </w:tc>
      </w:tr>
      <w:tr>
        <w:tc>
          <w:tcPr>
            <w:shd w:fill="FFFFFF" w:color="FFFFFF" w:val="solid"/>
          </w:tcPr>
          <w:p>
            <w:r>
              <w:rPr>
                <w:rFonts w:ascii="Times New Roman" w:cs="Times New Roman" w:eastAsia="Times New Roman" w:hAnsi="Times New Roman"/>
                <w:color w:val="1F2937"/>
                <w:sz w:val="20"/>
                <w:szCs w:val="20"/>
              </w:rPr>
              <w:t xml:space="preserve">Visuospatial</w:t>
            </w:r>
          </w:p>
        </w:tc>
        <w:tc>
          <w:tcPr>
            <w:shd w:fill="FFFFFF" w:color="FFFFFF" w:val="solid"/>
          </w:tcPr>
          <w:p>
            <w:r>
              <w:rPr>
                <w:rFonts w:ascii="Times New Roman" w:cs="Times New Roman" w:eastAsia="Times New Roman" w:hAnsi="Times New Roman"/>
                <w:color w:val="1F2937"/>
                <w:sz w:val="20"/>
                <w:szCs w:val="20"/>
              </w:rPr>
              <w:t xml:space="preserve">Se perd dans l'établissement / Heurte les meubles, chutes</w:t>
            </w:r>
          </w:p>
        </w:tc>
        <w:tc>
          <w:tcPr>
            <w:shd w:fill="FFFFFF" w:color="FFFFFF" w:val="solid"/>
          </w:tcPr>
          <w:p>
            <w:r>
              <w:rPr>
                <w:rFonts w:ascii="Times New Roman" w:cs="Times New Roman" w:eastAsia="Times New Roman" w:hAnsi="Times New Roman"/>
                <w:color w:val="1F2937"/>
                <w:sz w:val="20"/>
                <w:szCs w:val="20"/>
              </w:rPr>
              <w:t xml:space="preserve">« Tu as eu du mal à retrouver ta chambre dernièrement ? »</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Réagit de façon inhabituelle à des plaisanteries / Comportements déshinibés récents</w:t>
            </w:r>
          </w:p>
        </w:tc>
        <w:tc>
          <w:tcPr>
            <w:shd w:fill="EEF2F7" w:color="EEF2F7" w:val="solid"/>
          </w:tcPr>
          <w:p>
            <w:r>
              <w:rPr>
                <w:rFonts w:ascii="Times New Roman" w:cs="Times New Roman" w:eastAsia="Times New Roman" w:hAnsi="Times New Roman"/>
                <w:color w:val="1F2937"/>
                <w:sz w:val="20"/>
                <w:szCs w:val="20"/>
              </w:rPr>
              <w:t xml:space="preserve">Son entourage : « Son comportement avec les autres a changé ? »</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Corrigé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La contre-hypothèse principale est le délirium sur cause médicale aiguë (infection, constipation, déshydratation, intoxication médicamenteuse, sevrage). Le début est survenu il y a 3 semaines — délai court, point de départ identifiable — ce qui est davantage compatible avec un délirium qu'avec un TNC majeur dont le déclin est progressif sur des mois/années.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Signes permettant de distinguer : fluctuation heure par heure, trouble de la conscience (le résident semble « absent »), bilan médical retrouvant une cause aiguë.</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Orientation prioritaire : médecin généraliste ou urgences si état aigu, pour éliminer une cause somatique traitable. En parallèle, transmission écrite détaillée à l'équipe soignante et au médecin traitant, incluant : dates d'apparition, description précise des comportements observés, contexte (médicaments récents modifiés ?).</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Point déontologique : dans les structures pour personnes en situation de handicap mental (comme un foyer d'hébergement), la pathologie psychiatrique et le handicap cognitif préexistants rendent le dépistage des TNC particulièrement délicat. Le déclin doit toujours être évalué par rapport au niveau de fonctionnement ANTÉRIEUR de la personne, et non par rapport à une norme populationnelle. C'est une posture fondamentale pour éviter la sur- ou la sous-détection.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Pont professionnel</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En foyer d'hébergement pour adultes en situation de handicap mental et psychique, les résidents vieillissent. Le vieillissement précoce est documenté dans certaines populations (trisomie 21 : risque élevé de maladie d'Alzheimer dès 40-50 ans). Plusieurs repères sont utiles pour l'équipe éducative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Observer et décrire, pas diagnostiquer : formaliser l'observation en termes de domaines cognitifs atteints (grille ci-dessus) et la transmettre au médecin ou à l'équipe pluridisciplinaire.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le déclin du comportement habituel : la référence est le fonctionnement antérieur de la personne, pas une norme populationnelle.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RBPP HAS « Accompagnement des personnes atteintes d'une maladie d'Alzheimer ou apparentée en établissement médico-social » (mars 2018) est directement applicable aux ESSMS hébergeant des personnes âgées. Elle insiste sur la préservation de l'autonomie dans les choix de vie quotidienne, le projet personnalisé, et la formation des équipes à la prévention des troubles du comportement.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approches non médicamenteuses validées (stimulation cognitive, Snoezelen, activité physique adaptée, musicothérapie) relèvent directement des compétences éducatives.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Ressources pour approfondir</w:t>
      </w:r>
    </w:p>
    <w:p>
      <w:pPr>
        <w:pStyle w:val="ListParagraph"/>
        <w:numPr>
          <w:ilvl w:val="0"/>
          <w:numId w:val="1"/>
        </w:numPr>
        <w:spacing w:after="40" w:before="40"/>
      </w:pPr>
      <w:hyperlink w:history="1" r:id="rIdlmqvlrrmifa-ijeex3qo_">
        <w:r>
          <w:rPr>
            <w:rFonts w:ascii="Times New Roman" w:cs="Times New Roman" w:eastAsia="Times New Roman" w:hAnsi="Times New Roman"/>
            <w:color w:val="1155CC"/>
            <w:sz w:val="22"/>
            <w:szCs w:val="22"/>
            <w:u w:val="single"/>
          </w:rPr>
          <w:t xml:space="preserve">Wikipedia — Neurocognitive disorder (DSM-5, classifications, traitements)</w:t>
        </w:r>
      </w:hyperlink>
    </w:p>
    <w:p>
      <w:pPr>
        <w:pStyle w:val="ListParagraph"/>
        <w:numPr>
          <w:ilvl w:val="0"/>
          <w:numId w:val="1"/>
        </w:numPr>
        <w:spacing w:after="40" w:before="40"/>
      </w:pPr>
      <w:hyperlink w:history="1" r:id="rId3tmp3cqufp4z2wals_zrh">
        <w:r>
          <w:rPr>
            <w:rFonts w:ascii="Times New Roman" w:cs="Times New Roman" w:eastAsia="Times New Roman" w:hAnsi="Times New Roman"/>
            <w:color w:val="1155CC"/>
            <w:sz w:val="22"/>
            <w:szCs w:val="22"/>
            <w:u w:val="single"/>
          </w:rPr>
          <w:t xml:space="preserve">Merck Manual — Overview of Delirium and Dementia (tableau comparatif clinique)</w:t>
        </w:r>
      </w:hyperlink>
    </w:p>
    <w:p>
      <w:pPr>
        <w:pStyle w:val="ListParagraph"/>
        <w:numPr>
          <w:ilvl w:val="0"/>
          <w:numId w:val="1"/>
        </w:numPr>
        <w:spacing w:after="40" w:before="40"/>
      </w:pPr>
      <w:hyperlink w:history="1" r:id="rIdjnnlyb7p8kdnjwkrwwgap">
        <w:r>
          <w:rPr>
            <w:rFonts w:ascii="Times New Roman" w:cs="Times New Roman" w:eastAsia="Times New Roman" w:hAnsi="Times New Roman"/>
            <w:color w:val="1155CC"/>
            <w:sz w:val="22"/>
            <w:szCs w:val="22"/>
            <w:u w:val="single"/>
          </w:rPr>
          <w:t xml:space="preserve">Psychomédia — Critères diagnostiques DSM-5 TNC majeur</w:t>
        </w:r>
      </w:hyperlink>
    </w:p>
    <w:p>
      <w:pPr>
        <w:pStyle w:val="ListParagraph"/>
        <w:numPr>
          <w:ilvl w:val="0"/>
          <w:numId w:val="1"/>
        </w:numPr>
        <w:spacing w:after="40" w:before="40"/>
      </w:pPr>
      <w:hyperlink w:history="1" r:id="rIdsq2f-mvyatqzq2ayp5k1r">
        <w:r>
          <w:rPr>
            <w:rFonts w:ascii="Times New Roman" w:cs="Times New Roman" w:eastAsia="Times New Roman" w:hAnsi="Times New Roman"/>
            <w:color w:val="1155CC"/>
            <w:sz w:val="22"/>
            <w:szCs w:val="22"/>
            <w:u w:val="single"/>
          </w:rPr>
          <w:t xml:space="preserve">MedG — Démence vasculaire : clinique, critères NINDS-AIREN, prise en charge</w:t>
        </w:r>
      </w:hyperlink>
    </w:p>
    <w:p>
      <w:pPr>
        <w:pStyle w:val="ListParagraph"/>
        <w:numPr>
          <w:ilvl w:val="0"/>
          <w:numId w:val="1"/>
        </w:numPr>
        <w:spacing w:after="40" w:before="40"/>
      </w:pPr>
      <w:hyperlink w:history="1" r:id="rIdgvd-k1chzz53sfdftn3yk">
        <w:r>
          <w:rPr>
            <w:rFonts w:ascii="Times New Roman" w:cs="Times New Roman" w:eastAsia="Times New Roman" w:hAnsi="Times New Roman"/>
            <w:color w:val="1155CC"/>
            <w:sz w:val="22"/>
            <w:szCs w:val="22"/>
            <w:u w:val="single"/>
          </w:rPr>
          <w:t xml:space="preserve">Psycom — La santé mentale en vieillissant (facteurs de risque et protecteurs)</w:t>
        </w:r>
      </w:hyperlink>
    </w:p>
    <w:p>
      <w:pPr>
        <w:pStyle w:val="ListParagraph"/>
        <w:numPr>
          <w:ilvl w:val="0"/>
          <w:numId w:val="1"/>
        </w:numPr>
        <w:spacing w:after="40" w:before="40"/>
      </w:pPr>
      <w:hyperlink w:history="1" r:id="rIdzml-4mrct-auye0r75nxd">
        <w:r>
          <w:rPr>
            <w:rFonts w:ascii="Times New Roman" w:cs="Times New Roman" w:eastAsia="Times New Roman" w:hAnsi="Times New Roman"/>
            <w:color w:val="1155CC"/>
            <w:sz w:val="22"/>
            <w:szCs w:val="22"/>
            <w:u w:val="single"/>
          </w:rPr>
          <w:t xml:space="preserve">HAS — Maladie d'Alzheimer : panorama des recommandations</w:t>
        </w:r>
      </w:hyperlink>
    </w:p>
    <w:p>
      <w:pPr>
        <w:pStyle w:val="ListParagraph"/>
        <w:numPr>
          <w:ilvl w:val="0"/>
          <w:numId w:val="1"/>
        </w:numPr>
        <w:spacing w:after="40" w:before="40"/>
      </w:pPr>
      <w:hyperlink w:history="1" r:id="rIdodowsruelqz4b3kvkhs29">
        <w:r>
          <w:rPr>
            <w:rFonts w:ascii="Times New Roman" w:cs="Times New Roman" w:eastAsia="Times New Roman" w:hAnsi="Times New Roman"/>
            <w:color w:val="1155CC"/>
            <w:sz w:val="22"/>
            <w:szCs w:val="22"/>
            <w:u w:val="single"/>
          </w:rPr>
          <w:t xml:space="preserve">HAS — RBPP Accompagnement en ESSMS : personnes atteintes d'une maladie d'Alzheimer ou apparentée (mars 2018)</w:t>
        </w:r>
      </w:hyperlink>
    </w:p>
    <w:p>
      <w:pPr>
        <w:pStyle w:val="ListParagraph"/>
        <w:numPr>
          <w:ilvl w:val="0"/>
          <w:numId w:val="1"/>
        </w:numPr>
        <w:spacing w:after="40" w:before="40"/>
      </w:pPr>
      <w:hyperlink w:history="1" r:id="rIdbkgon66c2l7nzaqs36yvl">
        <w:r>
          <w:rPr>
            <w:rFonts w:ascii="Times New Roman" w:cs="Times New Roman" w:eastAsia="Times New Roman" w:hAnsi="Times New Roman"/>
            <w:color w:val="1155CC"/>
            <w:sz w:val="22"/>
            <w:szCs w:val="22"/>
            <w:u w:val="single"/>
          </w:rPr>
          <w:t xml:space="preserve">HAS — Alzheimer : tous les travaux de la HAS</w:t>
        </w:r>
      </w:hyperlink>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Prochaine leçon — Leçon 14 / 20</w:t>
      </w:r>
    </w:p>
    <w:p>
      <w:pPr>
        <w:spacing w:after="60" w:before="60"/>
        <w:ind/>
      </w:pPr>
      <w:r>
        <w:rPr>
          <w:rFonts w:ascii="Times New Roman" w:cs="Times New Roman" w:eastAsia="Times New Roman" w:hAnsi="Times New Roman"/>
          <w:b/>
          <w:bCs/>
          <w:i w:val="false"/>
          <w:iCs w:val="false"/>
          <w:color w:val="1F2937"/>
          <w:sz w:val="22"/>
          <w:szCs w:val="22"/>
        </w:rPr>
        <w:t xml:space="preserve">Leçon 14 : Les troubles du sommeil et leurs interactions psychiatriques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Nous explorerons les principales catégories de troubles du sommeil (insomnies, hypersomnies, parasomnies, troubles du rythme circadien), leurs liens bidirectionnels avec les troubles psychiatriques (dépression, anxiété, psychose, TSPT) et les approches non médicamenteuses validées (thérapie cognitive-comportementale pour l'insomnie, TCC-I). Les vignettes intégreront des situations fréquentes en ESSMS (troubles du sommeil chez les personnes avec handicap psychique, effets des psychotropes).</w:t>
      </w:r>
    </w:p>
    <w:p>
      <w:pPr>
        <w:spacing w:after="120" w:before="120"/>
      </w:pPr>
      <w:r>
        <w:rPr>
          <w:rFonts w:ascii="Times New Roman" w:cs="Times New Roman" w:eastAsia="Times New Roman" w:hAnsi="Times New Roman"/>
          <w:color w:val="CCCCCC"/>
          <w:sz w:val="20"/>
          <w:szCs w:val="20"/>
        </w:rPr>
        <w:t xml:space="preserve">────────────────────────────────────────────────────────────</w:t>
      </w:r>
    </w:p>
    <w:p>
      <w:pPr>
        <w:spacing w:after="60" w:before="60"/>
        <w:ind/>
      </w:pPr>
      <w:r>
        <w:rPr>
          <w:rFonts w:ascii="Times New Roman" w:cs="Times New Roman" w:eastAsia="Times New Roman" w:hAnsi="Times New Roman"/>
          <w:b w:val="false"/>
          <w:bCs w:val="false"/>
          <w:i/>
          <w:iCs/>
          <w:color w:val="999999"/>
          <w:sz w:val="22"/>
          <w:szCs w:val="22"/>
        </w:rPr>
        <w:t xml:space="preserve">Document généré le 31/08/2026 — Leçon 13 / 20 — Parcours Psychopathologie clinique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qvlrrmifa-ijeex3qo_" Type="http://schemas.openxmlformats.org/officeDocument/2006/relationships/hyperlink" Target="https://en.wikipedia.org/wiki/Neurocognitive_disorder" TargetMode="External"/><Relationship Id="rId3tmp3cqufp4z2wals_zrh" Type="http://schemas.openxmlformats.org/officeDocument/2006/relationships/hyperlink" Target="https://www.merckmanuals.com/professional/neurologic-disorders/delirium-and-dementia/overview-of-delirium-and-dementia" TargetMode="External"/><Relationship Id="rIdjnnlyb7p8kdnjwkrwwgap" Type="http://schemas.openxmlformats.org/officeDocument/2006/relationships/hyperlink" Target="https://www.psychomedia.qc.ca/dsm-5/2015-08-17/criteres-diagnostiques-demence-trouble-neurocognitif-majeur" TargetMode="External"/><Relationship Id="rIdsq2f-mvyatqzq2ayp5k1r" Type="http://schemas.openxmlformats.org/officeDocument/2006/relationships/hyperlink" Target="https://www.medg.fr/demence-vasculaire/" TargetMode="External"/><Relationship Id="rIdgvd-k1chzz53sfdftn3yk" Type="http://schemas.openxmlformats.org/officeDocument/2006/relationships/hyperlink" Target="https://www.psycom.org/sinformer/la-sante-mentale/la-sante-mentale-en-vieillissant/" TargetMode="External"/><Relationship Id="rIdzml-4mrct-auye0r75nxd" Type="http://schemas.openxmlformats.org/officeDocument/2006/relationships/hyperlink" Target="https://www.has-sante.fr/jcms/p_3058411/fr/maladie-d-alzheimer" TargetMode="External"/><Relationship Id="rIdodowsruelqz4b3kvkhs29" Type="http://schemas.openxmlformats.org/officeDocument/2006/relationships/hyperlink" Target="https://www.has-sante.fr/jcms/c_2835247/fr/l-accompagnement-des-personnes-atteintes-d-une-maladie-d-alzheimer-ou-apparentee-en-etablissement-medico-social" TargetMode="External"/><Relationship Id="rIdbkgon66c2l7nzaqs36yvl" Type="http://schemas.openxmlformats.org/officeDocument/2006/relationships/hyperlink" Target="https://www.has-sante.fr/jcms/c_2851666/fr/alzheimer-les-travaux-de-la-ha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2026-08-31T06:09:16.857Z</dcterms:created>
  <dcterms:modified xsi:type="dcterms:W3CDTF">2026-08-31T06:09:16.873Z</dcterms:modified>
</cp:coreProperties>
</file>

<file path=docProps/custom.xml><?xml version="1.0" encoding="utf-8"?>
<Properties xmlns="http://schemas.openxmlformats.org/officeDocument/2006/custom-properties" xmlns:vt="http://schemas.openxmlformats.org/officeDocument/2006/docPropsVTypes"/>
</file>