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color w:val="1B3A6B"/>
          <w:sz w:val="36"/>
          <w:szCs w:val="36"/>
        </w:rPr>
        <w:t xml:space="preserve">Note de contrôle des livrables</w:t>
      </w:r>
    </w:p>
    <w:p>
      <w:pPr>
        <w:spacing w:after="240"/>
        <w:jc w:val="center"/>
      </w:pPr>
      <w:r>
        <w:rPr>
          <w:rFonts w:ascii="Calibri" w:cs="Calibri" w:eastAsia="Calibri" w:hAnsi="Calibri"/>
          <w:b/>
          <w:bCs/>
          <w:color w:val="1B3A6B"/>
          <w:sz w:val="36"/>
          <w:szCs w:val="36"/>
        </w:rPr>
        <w:t xml:space="preserve">Semaine du 2026-08-09 au 2026-08-16</w:t>
      </w:r>
    </w:p>
    <w:p>
      <w:pPr>
        <w:spacing w:after="300"/>
        <w:jc w:val="center"/>
      </w:pPr>
      <w:r>
        <w:rPr>
          <w:rFonts w:ascii="Calibri" w:cs="Calibri" w:eastAsia="Calibri" w:hAnsi="Calibri"/>
          <w:i/>
          <w:iCs/>
          <w:color w:val="6B7280"/>
          <w:sz w:val="20"/>
          <w:szCs w:val="20"/>
        </w:rPr>
        <w:t xml:space="preserve">Date de production : 16 août 2026  ·  Contrôleur : agent automatique (Claude Sonnet 4.6)</w:t>
      </w:r>
    </w:p>
    <w:p>
      <w:pPr>
        <w:spacing w:after="120" w:before="120"/>
      </w:pPr>
      <w:r>
        <w:rPr>
          <w:rFonts w:ascii="Calibri" w:cs="Calibri" w:eastAsia="Calibri" w:hAnsi="Calibri"/>
          <w:color w:val="CCCCCC"/>
          <w:sz w:val="18"/>
          <w:szCs w:val="18"/>
        </w:rPr>
        <w:t xml:space="preserve">────────────────────────────────────────────────────────────────────────────────</w:t>
      </w:r>
    </w:p>
    <w:p>
      <w:pPr>
        <w:spacing w:after="120" w:before="360"/>
      </w:pPr>
      <w:r>
        <w:rPr>
          <w:rFonts w:ascii="Calibri" w:cs="Calibri" w:eastAsia="Calibri" w:hAnsi="Calibri"/>
          <w:b/>
          <w:bCs/>
          <w:color w:val="1B3A6B"/>
          <w:sz w:val="28"/>
          <w:szCs w:val="28"/>
        </w:rPr>
        <w:t xml:space="preserve">⚠️ Portée et limite de ce contrôle</w:t>
      </w:r>
    </w:p>
    <w:p>
      <w:pPr>
        <w:spacing w:after="80"/>
      </w:pPr>
      <w:r>
        <w:rPr>
          <w:rFonts w:ascii="Calibri" w:cs="Calibri" w:eastAsia="Calibri" w:hAnsi="Calibri"/>
          <w:color w:val="1F2937"/>
          <w:sz w:val="22"/>
          <w:szCs w:val="22"/>
        </w:rPr>
        <w:t xml:space="preserve">Ce contrôle est MÉCANIQUE ET EXTERNE. Il ne porte pas sur la qualité éditoriale, la pertinence pédagogique ni la précision académique des contenus. Aucun livrable n'a été modifié.</w:t>
      </w:r>
    </w:p>
    <w:p>
      <w:pPr>
        <w:spacing w:after="80"/>
      </w:pPr>
      <w:r>
        <w:rPr>
          <w:rFonts w:ascii="Calibri" w:cs="Calibri" w:eastAsia="Calibri" w:hAnsi="Calibri"/>
          <w:color w:val="1F2937"/>
          <w:sz w:val="22"/>
          <w:szCs w:val="22"/>
        </w:rPr>
        <w:t xml:space="preserve">Ce qui est vérifié : accessibilité des URLs (HTTP), chiffres réglementaires et fiscaux aux sources primaires, citations (attribution explicite vs. non vérifiable), cohérence des dates dans les veilles, décomptes de sources déclarés.</w:t>
      </w:r>
    </w:p>
    <w:p>
      <w:pPr>
        <w:spacing w:after="80"/>
      </w:pPr>
      <w:r>
        <w:rPr>
          <w:rFonts w:ascii="Calibri" w:cs="Calibri" w:eastAsia="Calibri" w:hAnsi="Calibri"/>
          <w:color w:val="1F2937"/>
          <w:sz w:val="22"/>
          <w:szCs w:val="22"/>
        </w:rPr>
        <w:t xml:space="preserve">Limite structurelle : le modèle qui contrôle est du même type que celui qui a produit les livrables. Son jugement sur la qualité éditoriale a peu de valeur. Il peut partager des angles morts.</w:t>
      </w:r>
    </w:p>
    <w:p>
      <w:pPr>
        <w:spacing w:after="120" w:before="120"/>
      </w:pPr>
      <w:r>
        <w:rPr>
          <w:rFonts w:ascii="Calibri" w:cs="Calibri" w:eastAsia="Calibri" w:hAnsi="Calibri"/>
          <w:color w:val="CCCCCC"/>
          <w:sz w:val="18"/>
          <w:szCs w:val="18"/>
        </w:rPr>
        <w:t xml:space="preserve">────────────────────────────────────────────────────────────────────────────────</w:t>
      </w:r>
    </w:p>
    <w:p>
      <w:pPr>
        <w:spacing w:after="120" w:before="360"/>
      </w:pPr>
      <w:r>
        <w:rPr>
          <w:rFonts w:ascii="Calibri" w:cs="Calibri" w:eastAsia="Calibri" w:hAnsi="Calibri"/>
          <w:b/>
          <w:bCs/>
          <w:color w:val="1B3A6B"/>
          <w:sz w:val="28"/>
          <w:szCs w:val="28"/>
        </w:rPr>
        <w:t xml:space="preserve">🚦 Verdict global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B3A6B" w:color="1B3A6B" w:val="solid"/>
            <w:tcMar>
              <w:top w:type="dxa" w:w="80"/>
              <w:left w:type="dxa" w:w="100"/>
              <w:bottom w:type="dxa" w:w="80"/>
              <w:right w:type="dxa" w:w="100"/>
            </w:tcMar>
          </w:tcPr>
          <w:p>
            <w:r>
              <w:rPr>
                <w:rFonts w:ascii="Calibri" w:cs="Calibri" w:eastAsia="Calibri" w:hAnsi="Calibri"/>
                <w:b/>
                <w:bCs/>
                <w:color w:val="FFFFFF"/>
                <w:sz w:val="20"/>
                <w:szCs w:val="20"/>
              </w:rPr>
              <w:t xml:space="preserve">Fichier</w:t>
            </w:r>
          </w:p>
        </w:tc>
        <w:tc>
          <w:tcPr>
            <w:shd w:fill="1B3A6B" w:color="1B3A6B" w:val="solid"/>
            <w:tcMar>
              <w:top w:type="dxa" w:w="80"/>
              <w:left w:type="dxa" w:w="100"/>
              <w:bottom w:type="dxa" w:w="80"/>
              <w:right w:type="dxa" w:w="100"/>
            </w:tcMar>
          </w:tcPr>
          <w:p>
            <w:r>
              <w:rPr>
                <w:rFonts w:ascii="Calibri" w:cs="Calibri" w:eastAsia="Calibri" w:hAnsi="Calibri"/>
                <w:b/>
                <w:bCs/>
                <w:color w:val="FFFFFF"/>
                <w:sz w:val="20"/>
                <w:szCs w:val="20"/>
              </w:rPr>
              <w:t xml:space="preserve">Job</w:t>
            </w:r>
          </w:p>
        </w:tc>
        <w:tc>
          <w:tcPr>
            <w:shd w:fill="1B3A6B" w:color="1B3A6B" w:val="solid"/>
            <w:tcMar>
              <w:top w:type="dxa" w:w="80"/>
              <w:left w:type="dxa" w:w="100"/>
              <w:bottom w:type="dxa" w:w="80"/>
              <w:right w:type="dxa" w:w="100"/>
            </w:tcMar>
          </w:tcPr>
          <w:p>
            <w:r>
              <w:rPr>
                <w:rFonts w:ascii="Calibri" w:cs="Calibri" w:eastAsia="Calibri" w:hAnsi="Calibri"/>
                <w:b/>
                <w:bCs/>
                <w:color w:val="FFFFFF"/>
                <w:sz w:val="20"/>
                <w:szCs w:val="20"/>
              </w:rPr>
              <w:t xml:space="preserve">Liens testés / déclarés</w:t>
            </w:r>
          </w:p>
        </w:tc>
        <w:tc>
          <w:tcPr>
            <w:shd w:fill="1B3A6B" w:color="1B3A6B" w:val="solid"/>
            <w:tcMar>
              <w:top w:type="dxa" w:w="80"/>
              <w:left w:type="dxa" w:w="100"/>
              <w:bottom w:type="dxa" w:w="80"/>
              <w:right w:type="dxa" w:w="100"/>
            </w:tcMar>
          </w:tcPr>
          <w:p>
            <w:r>
              <w:rPr>
                <w:rFonts w:ascii="Calibri" w:cs="Calibri" w:eastAsia="Calibri" w:hAnsi="Calibri"/>
                <w:b/>
                <w:bCs/>
                <w:color w:val="FFFFFF"/>
                <w:sz w:val="20"/>
                <w:szCs w:val="20"/>
              </w:rPr>
              <w:t xml:space="preserve">Liens morts</w:t>
            </w:r>
          </w:p>
        </w:tc>
        <w:tc>
          <w:tcPr>
            <w:shd w:fill="1B3A6B" w:color="1B3A6B" w:val="solid"/>
            <w:tcMar>
              <w:top w:type="dxa" w:w="80"/>
              <w:left w:type="dxa" w:w="100"/>
              <w:bottom w:type="dxa" w:w="80"/>
              <w:right w:type="dxa" w:w="100"/>
            </w:tcMar>
          </w:tcPr>
          <w:p>
            <w:r>
              <w:rPr>
                <w:rFonts w:ascii="Calibri" w:cs="Calibri" w:eastAsia="Calibri" w:hAnsi="Calibri"/>
                <w:b/>
                <w:bCs/>
                <w:color w:val="FFFFFF"/>
                <w:sz w:val="20"/>
                <w:szCs w:val="20"/>
              </w:rPr>
              <w:t xml:space="preserve">Chiffres vérifiés</w:t>
            </w:r>
          </w:p>
        </w:tc>
        <w:tc>
          <w:tcPr>
            <w:shd w:fill="1B3A6B" w:color="1B3A6B" w:val="solid"/>
            <w:tcMar>
              <w:top w:type="dxa" w:w="80"/>
              <w:left w:type="dxa" w:w="100"/>
              <w:bottom w:type="dxa" w:w="80"/>
              <w:right w:type="dxa" w:w="100"/>
            </w:tcMar>
          </w:tcPr>
          <w:p>
            <w:r>
              <w:rPr>
                <w:rFonts w:ascii="Calibri" w:cs="Calibri" w:eastAsia="Calibri" w:hAnsi="Calibri"/>
                <w:b/>
                <w:bCs/>
                <w:color w:val="FFFFFF"/>
                <w:sz w:val="20"/>
                <w:szCs w:val="20"/>
              </w:rPr>
              <w:t xml:space="preserve">Défauts</w:t>
            </w:r>
          </w:p>
        </w:tc>
        <w:tc>
          <w:tcPr>
            <w:shd w:fill="1B3A6B" w:color="1B3A6B" w:val="solid"/>
            <w:tcMar>
              <w:top w:type="dxa" w:w="80"/>
              <w:left w:type="dxa" w:w="100"/>
              <w:bottom w:type="dxa" w:w="80"/>
              <w:right w:type="dxa" w:w="100"/>
            </w:tcMar>
          </w:tcPr>
          <w:p>
            <w:r>
              <w:rPr>
                <w:rFonts w:ascii="Calibri" w:cs="Calibri" w:eastAsia="Calibri" w:hAnsi="Calibri"/>
                <w:b/>
                <w:bCs/>
                <w:color w:val="FFFFFF"/>
                <w:sz w:val="20"/>
                <w:szCs w:val="20"/>
              </w:rPr>
              <w:t xml:space="preserve">Gravité</w:t>
            </w:r>
          </w:p>
        </w:tc>
      </w:tr>
      <w:tr>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appli-ia_01 (02/08)</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appli-ia-lecon</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4/4</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1 (arxiv ✓)</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w:t>
            </w:r>
          </w:p>
        </w:tc>
      </w:tr>
      <w:tr>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appli-ia_02 (07/08)</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appli-ia-lecon</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4/4</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w:t>
            </w:r>
          </w:p>
        </w:tc>
      </w:tr>
      <w:tr>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appli-ia_03 (14/08)</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appli-ia-lecon</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4/4</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w:t>
            </w:r>
          </w:p>
        </w:tc>
      </w:tr>
      <w:tr>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astrologie-karmique_01 (10/08)</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astrologie-karmique-lecon</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8/8</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 (citations vérif. OK)</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w:t>
            </w:r>
          </w:p>
        </w:tc>
      </w:tr>
      <w:tr>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astrologie-karmique_02 (13/08)</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astrologie-karmique-lecon</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11/11</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w:t>
            </w:r>
          </w:p>
        </w:tc>
      </w:tr>
      <w:tr>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psychopathologie_09 (10/08)</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psychopathologie-lecon</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9/9</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w:t>
            </w:r>
          </w:p>
        </w:tc>
      </w:tr>
      <w:tr>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psychopathologie_10 (14/08)</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psychopathologie-lecon</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6/6</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w:t>
            </w:r>
          </w:p>
        </w:tc>
      </w:tr>
      <w:tr>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dzogchen_10 (11/08)</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dzogchen-lecon</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7/7</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w:t>
            </w:r>
          </w:p>
        </w:tc>
      </w:tr>
      <w:tr>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dzogchen_11 (14/08)</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dzogchen-lecon</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4/4</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w:t>
            </w:r>
          </w:p>
        </w:tc>
      </w:tr>
      <w:tr>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hypnose_09 (11/08)</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hypnose-lecon</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7/7*</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1 (PMC ✓)</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w:t>
            </w:r>
          </w:p>
        </w:tc>
      </w:tr>
      <w:tr>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enneagramme_11 (12/08)</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enneagramme-lecon</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4/4</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w:t>
            </w:r>
          </w:p>
        </w:tc>
      </w:tr>
      <w:tr>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stoicisme_10 (13/08)</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stoicisme-lecon</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5/5</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w:t>
            </w:r>
          </w:p>
        </w:tc>
      </w:tr>
      <w:tr>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placement-financier_10 (15/08)</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placement-financier-lecon</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5/5</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5 (PS, PFU, AV ✓)</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w:t>
            </w:r>
          </w:p>
        </w:tc>
      </w:tr>
      <w:tr>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revenus-passifs_04 (16/08)</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revenus-passifs-lecon</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8/8</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4 vérifiés — 1 ERREUR</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1 🔴</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w:t>
            </w:r>
          </w:p>
        </w:tc>
      </w:tr>
      <w:tr>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veille HAS (10/08)</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controle-livrables</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4/4</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w:t>
            </w:r>
          </w:p>
        </w:tc>
      </w:tr>
      <w:tr>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veille SERAFIN-PH (12/08)</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serafin-ph-veille</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EEF2F7" w:color="EEF2F7"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w:t>
            </w:r>
          </w:p>
        </w:tc>
      </w:tr>
      <w:tr>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veille iMac (16/08)</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imac-veille</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12/12**</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0</w:t>
            </w:r>
          </w:p>
        </w:tc>
        <w:tc>
          <w:tcPr>
            <w:shd w:fill="FFFFFF" w:color="FFFFFF" w:val="solid"/>
            <w:tcMar>
              <w:top w:type="dxa" w:w="80"/>
              <w:left w:type="dxa" w:w="100"/>
              <w:bottom w:type="dxa" w:w="80"/>
              <w:right w:type="dxa" w:w="100"/>
            </w:tcMar>
          </w:tcPr>
          <w:p>
            <w:r>
              <w:rPr>
                <w:rFonts w:ascii="Calibri" w:cs="Calibri" w:eastAsia="Calibri" w:hAnsi="Calibri"/>
                <w:b w:val="false"/>
                <w:bCs w:val="false"/>
                <w:color w:val="1F2937"/>
                <w:sz w:val="20"/>
                <w:szCs w:val="20"/>
              </w:rPr>
              <w:t xml:space="preserve">🟢</w:t>
            </w:r>
          </w:p>
        </w:tc>
      </w:tr>
    </w:tbl>
    <w:p>
      <w:pPr>
        <w:spacing w:after="40" w:before="80"/>
      </w:pPr>
      <w:r>
        <w:rPr>
          <w:rFonts w:ascii="Calibri" w:cs="Calibri" w:eastAsia="Calibri" w:hAnsi="Calibri"/>
          <w:i/>
          <w:iCs/>
          <w:color w:val="6B7280"/>
          <w:sz w:val="18"/>
          <w:szCs w:val="18"/>
        </w:rPr>
        <w:t xml:space="preserve">* discoveringhypnosis.com : réponse 000 au 1er test, 200 au retry — site accessible, probable instabilité réseau momentanée. Non compté comme lien mort.</w:t>
      </w:r>
    </w:p>
    <w:p>
      <w:pPr>
        <w:spacing w:after="200"/>
      </w:pPr>
      <w:r>
        <w:rPr>
          <w:rFonts w:ascii="Calibri" w:cs="Calibri" w:eastAsia="Calibri" w:hAnsi="Calibri"/>
          <w:i/>
          <w:iCs/>
          <w:color w:val="6B7280"/>
          <w:sz w:val="18"/>
          <w:szCs w:val="18"/>
        </w:rPr>
        <w:t xml:space="preserve">** apple.com/fr inaccessible depuis cet environnement (timeout DNS/réseau persistant). Classé "blocage anti-robot / réseau" — non compté comme lien mort. Fnac.com et Darty.com : 403 anti-robot, page probablement accessible.</w:t>
      </w:r>
    </w:p>
    <w:p>
      <w:pPr>
        <w:spacing w:after="120" w:before="120"/>
      </w:pPr>
      <w:r>
        <w:rPr>
          <w:rFonts w:ascii="Calibri" w:cs="Calibri" w:eastAsia="Calibri" w:hAnsi="Calibri"/>
          <w:color w:val="CCCCCC"/>
          <w:sz w:val="18"/>
          <w:szCs w:val="18"/>
        </w:rPr>
        <w:t xml:space="preserve">────────────────────────────────────────────────────────────────────────────────</w:t>
      </w:r>
    </w:p>
    <w:p>
      <w:pPr>
        <w:spacing w:after="120" w:before="360"/>
      </w:pPr>
      <w:r>
        <w:rPr>
          <w:rFonts w:ascii="Calibri" w:cs="Calibri" w:eastAsia="Calibri" w:hAnsi="Calibri"/>
          <w:b/>
          <w:bCs/>
          <w:color w:val="1B3A6B"/>
          <w:sz w:val="28"/>
          <w:szCs w:val="28"/>
        </w:rPr>
        <w:t xml:space="preserve">🔴 Défauts à corriger</w:t>
      </w:r>
    </w:p>
    <w:p>
      <w:pPr>
        <w:spacing w:after="80" w:before="240"/>
      </w:pPr>
      <w:r>
        <w:rPr>
          <w:rFonts w:ascii="Calibri" w:cs="Calibri" w:eastAsia="Calibri" w:hAnsi="Calibri"/>
          <w:b/>
          <w:bCs/>
          <w:color w:val="1B3A6B"/>
          <w:sz w:val="24"/>
          <w:szCs w:val="24"/>
        </w:rPr>
        <w:t xml:space="preserve">Défaut 1 — Taux de cotisations sociales micro-entrepreneur (BIC vente)</w:t>
      </w:r>
    </w:p>
    <w:p>
      <w:pPr>
        <w:spacing w:after="80" w:before="240"/>
      </w:pPr>
      <w:r>
        <w:rPr>
          <w:rFonts w:ascii="Calibri" w:cs="Calibri" w:eastAsia="Calibri" w:hAnsi="Calibri"/>
          <w:b/>
          <w:bCs/>
          <w:color w:val="1B3A6B"/>
          <w:sz w:val="24"/>
          <w:szCs w:val="24"/>
        </w:rPr>
        <w:t xml:space="preserve">Livrable : 2026-08-16_lecon-revenus-passifs_04_economie-reelle-couts-fiscalite.docx</w:t>
      </w:r>
    </w:p>
    <w:p>
      <w:r>
        <w:rPr>
          <w:rFonts w:ascii="Calibri" w:cs="Calibri" w:eastAsia="Calibri" w:hAnsi="Calibri"/>
          <w:b/>
          <w:bCs/>
          <w:color w:val="1F2937"/>
          <w:sz w:val="22"/>
          <w:szCs w:val="22"/>
        </w:rPr>
        <w:t xml:space="preserve">Ce qu'affirme le document :</w:t>
      </w:r>
    </w:p>
    <w:p>
      <w:pPr>
        <w:spacing w:after="80"/>
      </w:pPr>
      <w:r>
        <w:rPr>
          <w:rFonts w:ascii="Calibri" w:cs="Calibri" w:eastAsia="Calibri" w:hAnsi="Calibri"/>
          <w:color w:val="1F2937"/>
          <w:sz w:val="22"/>
          <w:szCs w:val="22"/>
        </w:rPr>
        <w:t xml:space="preserve">"Vente de marchandises (BIC) : 21,2 % du chiffre d'affaires"</w:t>
      </w:r>
    </w:p>
    <w:p>
      <w:pPr>
        <w:spacing w:after="80"/>
      </w:pPr>
      <w:r>
        <w:rPr>
          <w:rFonts w:ascii="Calibri" w:cs="Calibri" w:eastAsia="Calibri" w:hAnsi="Calibri"/>
          <w:color w:val="1F2937"/>
          <w:sz w:val="22"/>
          <w:szCs w:val="22"/>
        </w:rPr>
        <w:t xml:space="preserve">"Prestation de services commerciaux ou artisanaux (BIC) : taux modifié au 1er janvier 2026 — « Autre prestation de services » à 25,6 %"</w:t>
      </w:r>
    </w:p>
    <w:p>
      <w:r>
        <w:rPr>
          <w:rFonts w:ascii="Calibri" w:cs="Calibri" w:eastAsia="Calibri" w:hAnsi="Calibri"/>
          <w:b/>
          <w:bCs/>
          <w:color w:val="1F2937"/>
          <w:sz w:val="22"/>
          <w:szCs w:val="22"/>
        </w:rPr>
        <w:t xml:space="preserve">Ce que disent les sources primaires 2026 :</w:t>
      </w:r>
    </w:p>
    <w:p>
      <w:pPr>
        <w:spacing w:after="80"/>
      </w:pPr>
      <w:r>
        <w:rPr>
          <w:rFonts w:ascii="Calibri" w:cs="Calibri" w:eastAsia="Calibri" w:hAnsi="Calibri"/>
          <w:color w:val="1F2937"/>
          <w:sz w:val="22"/>
          <w:szCs w:val="22"/>
        </w:rPr>
        <w:t xml:space="preserve">• Vente de marchandises (BIC) : 12,3 % (source : lecoindesentrepreneurs.fr citant taux URSSAF 2026)</w:t>
      </w:r>
    </w:p>
    <w:p>
      <w:pPr>
        <w:spacing w:after="80"/>
      </w:pPr>
      <w:r>
        <w:rPr>
          <w:rFonts w:ascii="Calibri" w:cs="Calibri" w:eastAsia="Calibri" w:hAnsi="Calibri"/>
          <w:color w:val="1F2937"/>
          <w:sz w:val="22"/>
          <w:szCs w:val="22"/>
        </w:rPr>
        <w:t xml:space="preserve">• Prestations de services commerciaux ou artisanaux (BIC) : 21,2 %</w:t>
      </w:r>
    </w:p>
    <w:p>
      <w:pPr>
        <w:spacing w:after="80"/>
      </w:pPr>
      <w:r>
        <w:rPr>
          <w:rFonts w:ascii="Calibri" w:cs="Calibri" w:eastAsia="Calibri" w:hAnsi="Calibri"/>
          <w:color w:val="1F2937"/>
          <w:sz w:val="22"/>
          <w:szCs w:val="22"/>
        </w:rPr>
        <w:t xml:space="preserve">• Professions libérales BNC régime général (SSI) : 25,6 %</w:t>
      </w:r>
    </w:p>
    <w:p>
      <w:pPr>
        <w:spacing w:after="80"/>
      </w:pPr>
      <w:r>
        <w:rPr>
          <w:rFonts w:ascii="Calibri" w:cs="Calibri" w:eastAsia="Calibri" w:hAnsi="Calibri"/>
          <w:color w:val="1F2937"/>
          <w:sz w:val="22"/>
          <w:szCs w:val="22"/>
        </w:rPr>
        <w:t xml:space="preserve">• Professions libérales BNC CIPAV : 23,2 %</w:t>
      </w:r>
    </w:p>
    <w:p>
      <w:r>
        <w:rPr>
          <w:rFonts w:ascii="Calibri" w:cs="Calibri" w:eastAsia="Calibri" w:hAnsi="Calibri"/>
          <w:b/>
          <w:bCs/>
          <w:color w:val="D97706"/>
          <w:sz w:val="22"/>
          <w:szCs w:val="22"/>
        </w:rPr>
        <w:t xml:space="preserve">Erreur identifiée :</w:t>
      </w:r>
    </w:p>
    <w:p>
      <w:pPr>
        <w:spacing w:after="80"/>
      </w:pPr>
      <w:r>
        <w:rPr>
          <w:rFonts w:ascii="Calibri" w:cs="Calibri" w:eastAsia="Calibri" w:hAnsi="Calibri"/>
          <w:color w:val="1F2937"/>
          <w:sz w:val="22"/>
          <w:szCs w:val="22"/>
        </w:rPr>
        <w:t xml:space="preserve">La leçon attribue 21,2 % à la "vente de marchandises BIC" : c'est le taux des prestations de services BIC, pas de la vente. Le taux réel pour la vente est 12,3 %. L'écart est de 8,9 points, soit une surestimation de +72 % du coût réel pour ce type d'activité.</w:t>
      </w:r>
    </w:p>
    <w:p>
      <w:pPr>
        <w:spacing w:after="80"/>
      </w:pPr>
      <w:r>
        <w:rPr>
          <w:rFonts w:ascii="Calibri" w:cs="Calibri" w:eastAsia="Calibri" w:hAnsi="Calibri"/>
          <w:color w:val="1F2937"/>
          <w:sz w:val="22"/>
          <w:szCs w:val="22"/>
        </w:rPr>
        <w:t xml:space="preserve">De plus, la leçon attribue 25,6 % aux "prestations de services BIC" : c'est le taux des professions libérales BNC/SSI, pas des BIC services.</w:t>
      </w:r>
    </w:p>
    <w:p>
      <w:r>
        <w:rPr>
          <w:rFonts w:ascii="Calibri" w:cs="Calibri" w:eastAsia="Calibri" w:hAnsi="Calibri"/>
          <w:b/>
          <w:bCs/>
          <w:color w:val="D97706"/>
          <w:sz w:val="22"/>
          <w:szCs w:val="22"/>
        </w:rPr>
        <w:t xml:space="preserve">Gravité :</w:t>
      </w:r>
    </w:p>
    <w:p>
      <w:pPr>
        <w:spacing w:after="80"/>
      </w:pPr>
      <w:r>
        <w:rPr>
          <w:rFonts w:ascii="Calibri" w:cs="Calibri" w:eastAsia="Calibri" w:hAnsi="Calibri"/>
          <w:color w:val="1F2937"/>
          <w:sz w:val="22"/>
          <w:szCs w:val="22"/>
        </w:rPr>
        <w:t xml:space="preserve">🔴 HAUTE — Ces taux sont utilisés dans un exercice de calcul concret (vente d'ebook à 10 €). Un apprenant appliquant 21,2 % au lieu de 12,3 % sur du BIC vente obtiendrait un résultat significativement faussé.</w:t>
      </w:r>
    </w:p>
    <w:p>
      <w:r>
        <w:rPr>
          <w:rFonts w:ascii="Calibri" w:cs="Calibri" w:eastAsia="Calibri" w:hAnsi="Calibri"/>
          <w:b/>
          <w:bCs/>
          <w:color w:val="1F2937"/>
          <w:sz w:val="22"/>
          <w:szCs w:val="22"/>
        </w:rPr>
        <w:t xml:space="preserve">Correction suggérée :</w:t>
      </w:r>
    </w:p>
    <w:p>
      <w:pPr>
        <w:spacing w:after="80"/>
      </w:pPr>
      <w:r>
        <w:rPr>
          <w:rFonts w:ascii="Calibri" w:cs="Calibri" w:eastAsia="Calibri" w:hAnsi="Calibri"/>
          <w:color w:val="1F2937"/>
          <w:sz w:val="22"/>
          <w:szCs w:val="22"/>
        </w:rPr>
        <w:t xml:space="preserve">Remplacer le tableau des taux micro-entrepreneur par :</w:t>
      </w:r>
    </w:p>
    <w:p>
      <w:pPr>
        <w:pStyle w:val="ListParagraph"/>
        <w:numPr>
          <w:ilvl w:val="0"/>
          <w:numId w:val="1"/>
        </w:numPr>
        <w:spacing w:after="60"/>
      </w:pPr>
      <w:r>
        <w:rPr>
          <w:rFonts w:ascii="Calibri" w:cs="Calibri" w:eastAsia="Calibri" w:hAnsi="Calibri"/>
          <w:color w:val="1F2937"/>
          <w:sz w:val="22"/>
          <w:szCs w:val="22"/>
        </w:rPr>
        <w:t xml:space="preserve">Vente de marchandises (BIC) : 12,3 %</w:t>
      </w:r>
    </w:p>
    <w:p>
      <w:pPr>
        <w:pStyle w:val="ListParagraph"/>
        <w:numPr>
          <w:ilvl w:val="0"/>
          <w:numId w:val="1"/>
        </w:numPr>
        <w:spacing w:after="60"/>
      </w:pPr>
      <w:r>
        <w:rPr>
          <w:rFonts w:ascii="Calibri" w:cs="Calibri" w:eastAsia="Calibri" w:hAnsi="Calibri"/>
          <w:color w:val="1F2937"/>
          <w:sz w:val="22"/>
          <w:szCs w:val="22"/>
        </w:rPr>
        <w:t xml:space="preserve">Prestations de services commerciaux ou artisanaux (BIC) : 21,2 %</w:t>
      </w:r>
    </w:p>
    <w:p>
      <w:pPr>
        <w:pStyle w:val="ListParagraph"/>
        <w:numPr>
          <w:ilvl w:val="0"/>
          <w:numId w:val="1"/>
        </w:numPr>
        <w:spacing w:after="60"/>
      </w:pPr>
      <w:r>
        <w:rPr>
          <w:rFonts w:ascii="Calibri" w:cs="Calibri" w:eastAsia="Calibri" w:hAnsi="Calibri"/>
          <w:color w:val="1F2937"/>
          <w:sz w:val="22"/>
          <w:szCs w:val="22"/>
        </w:rPr>
        <w:t xml:space="preserve">Professions libérales BNC / SSI (régime général) : 25,6 %</w:t>
      </w:r>
    </w:p>
    <w:p>
      <w:pPr>
        <w:pStyle w:val="ListParagraph"/>
        <w:numPr>
          <w:ilvl w:val="0"/>
          <w:numId w:val="1"/>
        </w:numPr>
        <w:spacing w:after="60"/>
      </w:pPr>
      <w:r>
        <w:rPr>
          <w:rFonts w:ascii="Calibri" w:cs="Calibri" w:eastAsia="Calibri" w:hAnsi="Calibri"/>
          <w:color w:val="1F2937"/>
          <w:sz w:val="22"/>
          <w:szCs w:val="22"/>
        </w:rPr>
        <w:t xml:space="preserve">Professions libérales BNC / CIPAV : 23,2 %</w:t>
      </w:r>
    </w:p>
    <w:p>
      <w:pPr>
        <w:spacing w:after="80"/>
      </w:pPr>
      <w:r>
        <w:rPr>
          <w:rFonts w:ascii="Calibri" w:cs="Calibri" w:eastAsia="Calibri" w:hAnsi="Calibri"/>
          <w:color w:val="1F2937"/>
          <w:sz w:val="22"/>
          <w:szCs w:val="22"/>
        </w:rPr>
        <w:t xml:space="preserve">Le calcul de l'exercice (ebook 10 € → cotisations) doit utiliser 12,3 % si l'activité est une vente (résultat : 10 × 12,3 % = 1,23 €, non 10 × 21,2 % = 2,12 €).</w:t>
      </w:r>
    </w:p>
    <w:p>
      <w:r>
        <w:rPr>
          <w:rFonts w:ascii="Calibri" w:cs="Calibri" w:eastAsia="Calibri" w:hAnsi="Calibri"/>
          <w:b/>
          <w:bCs/>
          <w:color w:val="1F2937"/>
          <w:sz w:val="22"/>
          <w:szCs w:val="22"/>
        </w:rPr>
        <w:t xml:space="preserve">Sources primaires vérifiées lors de ce contrôle :</w:t>
      </w:r>
    </w:p>
    <w:p>
      <w:pPr>
        <w:spacing w:after="60"/>
      </w:pPr>
      <w:r>
        <w:rPr>
          <w:rFonts w:ascii="Calibri" w:cs="Calibri" w:eastAsia="Calibri" w:hAnsi="Calibri"/>
          <w:color w:val="1F2937"/>
          <w:sz w:val="22"/>
          <w:szCs w:val="22"/>
        </w:rPr>
        <w:t xml:space="preserve">• </w:t>
      </w:r>
      <w:hyperlink w:history="1" r:id="rIdzsnwjl07w96ff1etatzzd">
        <w:r>
          <w:rPr>
            <w:rFonts w:ascii="Calibri" w:cs="Calibri" w:eastAsia="Calibri" w:hAnsi="Calibri"/>
            <w:color w:val="1155CC"/>
            <w:sz w:val="22"/>
            <w:szCs w:val="22"/>
            <w:u w:val="single"/>
          </w:rPr>
          <w:t xml:space="preserve">Le Coin des Entrepreneurs — Taux cotisations sociales 2026 micro-entrepreneur</w:t>
        </w:r>
      </w:hyperlink>
      <w:r>
        <w:rPr>
          <w:rFonts w:ascii="Calibri" w:cs="Calibri" w:eastAsia="Calibri" w:hAnsi="Calibri"/>
          <w:color w:val="1F2937"/>
          <w:sz w:val="22"/>
          <w:szCs w:val="22"/>
        </w:rPr>
        <w:t xml:space="preserve"> (consulté le 16/08/2026)</w:t>
      </w:r>
    </w:p>
    <w:p>
      <w:pPr>
        <w:spacing w:after="80"/>
      </w:pPr>
      <w:r>
        <w:rPr>
          <w:rFonts w:ascii="Calibri" w:cs="Calibri" w:eastAsia="Calibri" w:hAnsi="Calibri"/>
          <w:color w:val="1F2937"/>
          <w:sz w:val="22"/>
          <w:szCs w:val="22"/>
        </w:rPr>
        <w:t xml:space="preserve">Note : le site autoentrepreneur.urssaf.fr était inaccessible lors de ce contrôle (ECONNRESET identique à l'exécution du job). Les taux ci-dessus sont confirmés par plusieurs sources secondaires concordantes (lecoindesentrepreneurs.fr, abby.fr, portail-autoentrepreneur.fr). Vérification directe sur urssaf.fr recommandée avant correction.</w:t>
      </w:r>
    </w:p>
    <w:p>
      <w:pPr>
        <w:spacing w:after="200"/>
      </w:pPr>
    </w:p>
    <w:p>
      <w:pPr>
        <w:spacing w:after="120" w:before="120"/>
      </w:pPr>
      <w:r>
        <w:rPr>
          <w:rFonts w:ascii="Calibri" w:cs="Calibri" w:eastAsia="Calibri" w:hAnsi="Calibri"/>
          <w:color w:val="CCCCCC"/>
          <w:sz w:val="18"/>
          <w:szCs w:val="18"/>
        </w:rPr>
        <w:t xml:space="preserve">────────────────────────────────────────────────────────────────────────────────</w:t>
      </w:r>
    </w:p>
    <w:p>
      <w:pPr>
        <w:spacing w:after="120" w:before="360"/>
      </w:pPr>
      <w:r>
        <w:rPr>
          <w:rFonts w:ascii="Calibri" w:cs="Calibri" w:eastAsia="Calibri" w:hAnsi="Calibri"/>
          <w:b/>
          <w:bCs/>
          <w:color w:val="1B3A6B"/>
          <w:sz w:val="28"/>
          <w:szCs w:val="28"/>
        </w:rPr>
        <w:t xml:space="preserve">🟠 Points de vigilance</w:t>
      </w:r>
    </w:p>
    <w:p>
      <w:pPr>
        <w:spacing w:after="80" w:before="240"/>
      </w:pPr>
      <w:r>
        <w:rPr>
          <w:rFonts w:ascii="Calibri" w:cs="Calibri" w:eastAsia="Calibri" w:hAnsi="Calibri"/>
          <w:b/>
          <w:bCs/>
          <w:color w:val="1B3A6B"/>
          <w:sz w:val="24"/>
          <w:szCs w:val="24"/>
        </w:rPr>
        <w:t xml:space="preserve">V1 — Taux cotisations sociales non sourcés sur primaire (leçon revenus-passifs_04)</w:t>
      </w:r>
    </w:p>
    <w:p>
      <w:pPr>
        <w:spacing w:after="80"/>
      </w:pPr>
      <w:r>
        <w:rPr>
          <w:rFonts w:ascii="Calibri" w:cs="Calibri" w:eastAsia="Calibri" w:hAnsi="Calibri"/>
          <w:color w:val="1F2937"/>
          <w:sz w:val="22"/>
          <w:szCs w:val="22"/>
        </w:rPr>
        <w:t xml:space="preserve">Le document signale lui-même que autoentrepreneur.urssaf.fr était inaccessible lors de la production ("⛔ ECONNRESET") et que les taux cités proviennent d'un résultat de recherche WebSearch, non de la page primaire. Cette transparence est bonne pratique — mais le taux BIC vente est néanmoins erroné (voir Défaut 1). Le taux BNC/SSI à 25,6 % est quant à lui correct pour les professions libérales SSI, mais mal attribué à "BIC services".</w:t>
      </w:r>
    </w:p>
    <w:p>
      <w:pPr>
        <w:spacing w:after="80" w:before="240"/>
      </w:pPr>
      <w:r>
        <w:rPr>
          <w:rFonts w:ascii="Calibri" w:cs="Calibri" w:eastAsia="Calibri" w:hAnsi="Calibri"/>
          <w:b/>
          <w:bCs/>
          <w:color w:val="1B3A6B"/>
          <w:sz w:val="24"/>
          <w:szCs w:val="24"/>
        </w:rPr>
        <w:t xml:space="preserve">V2 — Seuils CA micro-entrepreneur 2026 non vérifiables (leçon revenus-passifs_04)</w:t>
      </w:r>
    </w:p>
    <w:p>
      <w:pPr>
        <w:spacing w:after="80"/>
      </w:pPr>
      <w:r>
        <w:rPr>
          <w:rFonts w:ascii="Calibri" w:cs="Calibri" w:eastAsia="Calibri" w:hAnsi="Calibri"/>
          <w:color w:val="1F2937"/>
          <w:sz w:val="22"/>
          <w:szCs w:val="22"/>
        </w:rPr>
        <w:t xml:space="preserve">Le document signale explicitement : "Seuils de CA du micro-entrepreneur : modifiés en 2026. Consulte autoentrepreneur.urssaf.fr — site inaccessible lors de cette exécution." Bonne pratique de transparence. Le contrôle n'a pas pu accéder au site non plus. À vérifier manuellement.</w:t>
      </w:r>
    </w:p>
    <w:p>
      <w:pPr>
        <w:spacing w:after="80" w:before="240"/>
      </w:pPr>
      <w:r>
        <w:rPr>
          <w:rFonts w:ascii="Calibri" w:cs="Calibri" w:eastAsia="Calibri" w:hAnsi="Calibri"/>
          <w:b/>
          <w:bCs/>
          <w:color w:val="1B3A6B"/>
          <w:sz w:val="24"/>
          <w:szCs w:val="24"/>
        </w:rPr>
        <w:t xml:space="preserve">V3 — Apple.com/fr inaccessible (veille iMac 16/08)</w:t>
      </w:r>
    </w:p>
    <w:p>
      <w:pPr>
        <w:spacing w:after="80"/>
      </w:pPr>
      <w:r>
        <w:rPr>
          <w:rFonts w:ascii="Calibri" w:cs="Calibri" w:eastAsia="Calibri" w:hAnsi="Calibri"/>
          <w:color w:val="1F2937"/>
          <w:sz w:val="22"/>
          <w:szCs w:val="22"/>
        </w:rPr>
        <w:t xml:space="preserve">Les URLs apple.com/fr/shop/buy-mac/imac et apple.com/fr/shop/refurbished/mac/imac timeout systématiquement depuis cet environnement. Le document le signale correctement ("pages non accessibles, rendu JavaScript"). Le prix 1 799 € pour l'iMac M4 base est mentionné comme "✅ confirmé" — cette valeur n'a pas pu être vérifiée en direct lors de ce contrôle (même restriction). Non compté comme défaut.</w:t>
      </w:r>
    </w:p>
    <w:p>
      <w:pPr>
        <w:spacing w:after="80" w:before="240"/>
      </w:pPr>
      <w:r>
        <w:rPr>
          <w:rFonts w:ascii="Calibri" w:cs="Calibri" w:eastAsia="Calibri" w:hAnsi="Calibri"/>
          <w:b/>
          <w:bCs/>
          <w:color w:val="1B3A6B"/>
          <w:sz w:val="24"/>
          <w:szCs w:val="24"/>
        </w:rPr>
        <w:t xml:space="preserve">V4 — Prix reconditionné iMac estimé (veille iMac 16/08)</w:t>
      </w:r>
    </w:p>
    <w:p>
      <w:pPr>
        <w:spacing w:after="80"/>
      </w:pPr>
      <w:r>
        <w:rPr>
          <w:rFonts w:ascii="Calibri" w:cs="Calibri" w:eastAsia="Calibri" w:hAnsi="Calibri"/>
          <w:color w:val="1F2937"/>
          <w:sz w:val="22"/>
          <w:szCs w:val="22"/>
        </w:rPr>
        <w:t xml:space="preserve">Le document indique "~1 519 € estimé pour le 8c/8c 16 Go (source secondaire non confirmée directement)". Cette transparence est correcte — le chiffre est bien qualifié d'estimation non vérifiée. Non compté comme défaut.</w:t>
      </w:r>
    </w:p>
    <w:p>
      <w:pPr>
        <w:spacing w:after="80" w:before="240"/>
      </w:pPr>
      <w:r>
        <w:rPr>
          <w:rFonts w:ascii="Calibri" w:cs="Calibri" w:eastAsia="Calibri" w:hAnsi="Calibri"/>
          <w:b/>
          <w:bCs/>
          <w:color w:val="1B3A6B"/>
          <w:sz w:val="24"/>
          <w:szCs w:val="24"/>
        </w:rPr>
        <w:t xml:space="preserve">V5 — Livret A : absence de mention du changement de taux (leçons placement-financier_10)</w:t>
      </w:r>
    </w:p>
    <w:p>
      <w:pPr>
        <w:spacing w:after="80"/>
      </w:pPr>
      <w:r>
        <w:rPr>
          <w:rFonts w:ascii="Calibri" w:cs="Calibri" w:eastAsia="Calibri" w:hAnsi="Calibri"/>
          <w:color w:val="1F2937"/>
          <w:sz w:val="22"/>
          <w:szCs w:val="22"/>
        </w:rPr>
        <w:t xml:space="preserve">La leçon placement-financier_10 (produite le 15/08/2026) cite Livret A, LDDS et LEP comme "totalement exonérés" sans préciser leur taux courant. Cela ne constitue pas une erreur (la leçon porte sur la fiscalité, pas les taux de rémunération), mais un lecteur comparant avec le Livret A à 1,7 % (arrêté du 15/07/2026, en vigueur depuis le 01/08/2026) ne trouvera pas cette information. Hors périmètre de la leçon — signalé pour complétude.</w:t>
      </w:r>
    </w:p>
    <w:p>
      <w:pPr>
        <w:spacing w:after="120" w:before="120"/>
      </w:pPr>
      <w:r>
        <w:rPr>
          <w:rFonts w:ascii="Calibri" w:cs="Calibri" w:eastAsia="Calibri" w:hAnsi="Calibri"/>
          <w:color w:val="CCCCCC"/>
          <w:sz w:val="18"/>
          <w:szCs w:val="18"/>
        </w:rPr>
        <w:t xml:space="preserve">────────────────────────────────────────────────────────────────────────────────</w:t>
      </w:r>
    </w:p>
    <w:p>
      <w:pPr>
        <w:spacing w:after="120" w:before="360"/>
      </w:pPr>
      <w:r>
        <w:rPr>
          <w:rFonts w:ascii="Calibri" w:cs="Calibri" w:eastAsia="Calibri" w:hAnsi="Calibri"/>
          <w:b/>
          <w:bCs/>
          <w:color w:val="1B3A6B"/>
          <w:sz w:val="28"/>
          <w:szCs w:val="28"/>
        </w:rPr>
        <w:t xml:space="preserve">✅ Vérifications passées</w:t>
      </w:r>
    </w:p>
    <w:p>
      <w:pPr>
        <w:spacing w:after="80" w:before="240"/>
      </w:pPr>
      <w:r>
        <w:rPr>
          <w:rFonts w:ascii="Calibri" w:cs="Calibri" w:eastAsia="Calibri" w:hAnsi="Calibri"/>
          <w:b/>
          <w:bCs/>
          <w:color w:val="1B3A6B"/>
          <w:sz w:val="24"/>
          <w:szCs w:val="24"/>
        </w:rPr>
        <w:t xml:space="preserve">Liens (91 URLs testées sur 17 livrables)</w:t>
      </w:r>
    </w:p>
    <w:p>
      <w:pPr>
        <w:pStyle w:val="ListParagraph"/>
        <w:numPr>
          <w:ilvl w:val="0"/>
          <w:numId w:val="1"/>
        </w:numPr>
        <w:spacing w:after="60"/>
      </w:pPr>
      <w:r>
        <w:rPr>
          <w:rFonts w:ascii="Calibri" w:cs="Calibri" w:eastAsia="Calibri" w:hAnsi="Calibri"/>
          <w:color w:val="1F2937"/>
          <w:sz w:val="22"/>
          <w:szCs w:val="22"/>
        </w:rPr>
        <w:t xml:space="preserve">91 URLs identifiées (63 dans les fichiers .rels + 12 dans le texte brut pour revenus-passifs et appli-ia_02)</w:t>
      </w:r>
    </w:p>
    <w:p>
      <w:pPr>
        <w:pStyle w:val="ListParagraph"/>
        <w:numPr>
          <w:ilvl w:val="0"/>
          <w:numId w:val="1"/>
        </w:numPr>
        <w:spacing w:after="60"/>
      </w:pPr>
      <w:r>
        <w:rPr>
          <w:rFonts w:ascii="Calibri" w:cs="Calibri" w:eastAsia="Calibri" w:hAnsi="Calibri"/>
          <w:color w:val="1F2937"/>
          <w:sz w:val="22"/>
          <w:szCs w:val="22"/>
        </w:rPr>
        <w:t xml:space="preserve">91 URLs testées via curl -L avec timeout 20-25s</w:t>
      </w:r>
    </w:p>
    <w:p>
      <w:pPr>
        <w:pStyle w:val="ListParagraph"/>
        <w:numPr>
          <w:ilvl w:val="0"/>
          <w:numId w:val="1"/>
        </w:numPr>
        <w:spacing w:after="60"/>
      </w:pPr>
      <w:r>
        <w:rPr>
          <w:rFonts w:ascii="Calibri" w:cs="Calibri" w:eastAsia="Calibri" w:hAnsi="Calibri"/>
          <w:color w:val="1F2937"/>
          <w:sz w:val="22"/>
          <w:szCs w:val="22"/>
        </w:rPr>
        <w:t xml:space="preserve">0 lien mort (HTTP 404)</w:t>
      </w:r>
    </w:p>
    <w:p>
      <w:pPr>
        <w:pStyle w:val="ListParagraph"/>
        <w:numPr>
          <w:ilvl w:val="0"/>
          <w:numId w:val="1"/>
        </w:numPr>
        <w:spacing w:after="60"/>
      </w:pPr>
      <w:r>
        <w:rPr>
          <w:rFonts w:ascii="Calibri" w:cs="Calibri" w:eastAsia="Calibri" w:hAnsi="Calibri"/>
          <w:color w:val="1F2937"/>
          <w:sz w:val="22"/>
          <w:szCs w:val="22"/>
        </w:rPr>
        <w:t xml:space="preserve">Cas particuliers correctement classifiés : 2 × apple.com (timeout réseau), 2 × blocage 403 anti-robot (Fnac, Darty), 1 × discoveringhypnosis.com (000 au 1er test, 200 au retry)</w:t>
      </w:r>
    </w:p>
    <w:p>
      <w:pPr>
        <w:spacing w:after="80" w:before="240"/>
      </w:pPr>
      <w:r>
        <w:rPr>
          <w:rFonts w:ascii="Calibri" w:cs="Calibri" w:eastAsia="Calibri" w:hAnsi="Calibri"/>
          <w:b/>
          <w:bCs/>
          <w:color w:val="1B3A6B"/>
          <w:sz w:val="24"/>
          <w:szCs w:val="24"/>
        </w:rPr>
        <w:t xml:space="preserve">Chiffres fiscaux — leçon placement-financier_10</w:t>
      </w:r>
    </w:p>
    <w:p>
      <w:pPr>
        <w:pStyle w:val="ListParagraph"/>
        <w:numPr>
          <w:ilvl w:val="0"/>
          <w:numId w:val="1"/>
        </w:numPr>
        <w:spacing w:after="60"/>
      </w:pPr>
      <w:r>
        <w:rPr>
          <w:rFonts w:ascii="Calibri" w:cs="Calibri" w:eastAsia="Calibri" w:hAnsi="Calibri"/>
          <w:color w:val="1F2937"/>
          <w:sz w:val="22"/>
          <w:szCs w:val="22"/>
        </w:rPr>
        <w:t xml:space="preserve">PFU 2026 = 31,4 % (12,8 % IR + 18,6 % PS) : CONFIRMÉ (impots.gouv.fr + service-public.gouv.fr + lafinancepourtous.com)</w:t>
      </w:r>
    </w:p>
    <w:p>
      <w:pPr>
        <w:pStyle w:val="ListParagraph"/>
        <w:numPr>
          <w:ilvl w:val="0"/>
          <w:numId w:val="1"/>
        </w:numPr>
        <w:spacing w:after="60"/>
      </w:pPr>
      <w:r>
        <w:rPr>
          <w:rFonts w:ascii="Calibri" w:cs="Calibri" w:eastAsia="Calibri" w:hAnsi="Calibri"/>
          <w:color w:val="1F2937"/>
          <w:sz w:val="22"/>
          <w:szCs w:val="22"/>
        </w:rPr>
        <w:t xml:space="preserve">Hausse CSG : 9,2 % → 10,6 % au 01/01/2026 sur revenus de placement : CONFIRMÉ</w:t>
      </w:r>
    </w:p>
    <w:p>
      <w:pPr>
        <w:pStyle w:val="ListParagraph"/>
        <w:numPr>
          <w:ilvl w:val="0"/>
          <w:numId w:val="1"/>
        </w:numPr>
        <w:spacing w:after="60"/>
      </w:pPr>
      <w:r>
        <w:rPr>
          <w:rFonts w:ascii="Calibri" w:cs="Calibri" w:eastAsia="Calibri" w:hAnsi="Calibri"/>
          <w:color w:val="1F2937"/>
          <w:sz w:val="22"/>
          <w:szCs w:val="22"/>
        </w:rPr>
        <w:t xml:space="preserve">Revenus fonciers : PS à 17,2 % (CSG 9,2 % + CRDS 0,5 % + solidarité 7,5 %) : CONFIRMÉ (service-public.gouv.fr F1991)</w:t>
      </w:r>
    </w:p>
    <w:p>
      <w:pPr>
        <w:pStyle w:val="ListParagraph"/>
        <w:numPr>
          <w:ilvl w:val="0"/>
          <w:numId w:val="1"/>
        </w:numPr>
        <w:spacing w:after="60"/>
      </w:pPr>
      <w:r>
        <w:rPr>
          <w:rFonts w:ascii="Calibri" w:cs="Calibri" w:eastAsia="Calibri" w:hAnsi="Calibri"/>
          <w:color w:val="1F2937"/>
          <w:sz w:val="22"/>
          <w:szCs w:val="22"/>
        </w:rPr>
        <w:t xml:space="preserve">Assurance-vie : PS à 17,2 % (non 18,6 %) : CONFIRMÉ (service-public.gouv.fr F2329)</w:t>
      </w:r>
    </w:p>
    <w:p>
      <w:pPr>
        <w:pStyle w:val="ListParagraph"/>
        <w:numPr>
          <w:ilvl w:val="0"/>
          <w:numId w:val="1"/>
        </w:numPr>
        <w:spacing w:after="60"/>
      </w:pPr>
      <w:r>
        <w:rPr>
          <w:rFonts w:ascii="Calibri" w:cs="Calibri" w:eastAsia="Calibri" w:hAnsi="Calibri"/>
          <w:color w:val="1F2937"/>
          <w:sz w:val="22"/>
          <w:szCs w:val="22"/>
        </w:rPr>
        <w:t xml:space="preserve">PEA &gt; 5 ans : exonération IR, PS 18,6 % seuls : CONFIRMÉ</w:t>
      </w:r>
    </w:p>
    <w:p>
      <w:pPr>
        <w:pStyle w:val="ListParagraph"/>
        <w:numPr>
          <w:ilvl w:val="0"/>
          <w:numId w:val="1"/>
        </w:numPr>
        <w:spacing w:after="60"/>
      </w:pPr>
      <w:r>
        <w:rPr>
          <w:rFonts w:ascii="Calibri" w:cs="Calibri" w:eastAsia="Calibri" w:hAnsi="Calibri"/>
          <w:color w:val="1F2937"/>
          <w:sz w:val="22"/>
          <w:szCs w:val="22"/>
        </w:rPr>
        <w:t xml:space="preserve">Assurance-vie &gt; 8 ans : IR à 7,5 % + PS 17,2 % = 24,7 % total : CONFIRMÉ</w:t>
      </w:r>
    </w:p>
    <w:p>
      <w:pPr>
        <w:pStyle w:val="ListParagraph"/>
        <w:numPr>
          <w:ilvl w:val="0"/>
          <w:numId w:val="1"/>
        </w:numPr>
        <w:spacing w:after="60"/>
      </w:pPr>
      <w:r>
        <w:rPr>
          <w:rFonts w:ascii="Calibri" w:cs="Calibri" w:eastAsia="Calibri" w:hAnsi="Calibri"/>
          <w:color w:val="1F2937"/>
          <w:sz w:val="22"/>
          <w:szCs w:val="22"/>
        </w:rPr>
        <w:t xml:space="preserve">Seuil micro-foncier 15 000 €, abattement 30 % : CONFIRMÉ (service-public.gouv.fr F1991)</w:t>
      </w:r>
    </w:p>
    <w:p>
      <w:pPr>
        <w:spacing w:after="80" w:before="240"/>
      </w:pPr>
      <w:r>
        <w:rPr>
          <w:rFonts w:ascii="Calibri" w:cs="Calibri" w:eastAsia="Calibri" w:hAnsi="Calibri"/>
          <w:b/>
          <w:bCs/>
          <w:color w:val="1B3A6B"/>
          <w:sz w:val="24"/>
          <w:szCs w:val="24"/>
        </w:rPr>
        <w:t xml:space="preserve">Chiffres fiscaux — leçon revenus-passifs_04</w:t>
      </w:r>
    </w:p>
    <w:p>
      <w:pPr>
        <w:pStyle w:val="ListParagraph"/>
        <w:numPr>
          <w:ilvl w:val="0"/>
          <w:numId w:val="1"/>
        </w:numPr>
        <w:spacing w:after="60"/>
      </w:pPr>
      <w:r>
        <w:rPr>
          <w:rFonts w:ascii="Calibri" w:cs="Calibri" w:eastAsia="Calibri" w:hAnsi="Calibri"/>
          <w:color w:val="1F2937"/>
          <w:sz w:val="22"/>
          <w:szCs w:val="22"/>
        </w:rPr>
        <w:t xml:space="preserve">PFU 2026 = 31,4 % (12,8 % + 18,6 %) : CONFIRMÉ</w:t>
      </w:r>
    </w:p>
    <w:p>
      <w:pPr>
        <w:pStyle w:val="ListParagraph"/>
        <w:numPr>
          <w:ilvl w:val="0"/>
          <w:numId w:val="1"/>
        </w:numPr>
        <w:spacing w:after="60"/>
      </w:pPr>
      <w:r>
        <w:rPr>
          <w:rFonts w:ascii="Calibri" w:cs="Calibri" w:eastAsia="Calibri" w:hAnsi="Calibri"/>
          <w:color w:val="1F2937"/>
          <w:sz w:val="22"/>
          <w:szCs w:val="22"/>
        </w:rPr>
        <w:t xml:space="preserve">PS revenus fonciers = 17,2 % : CONFIRMÉ</w:t>
      </w:r>
    </w:p>
    <w:p>
      <w:pPr>
        <w:pStyle w:val="ListParagraph"/>
        <w:numPr>
          <w:ilvl w:val="0"/>
          <w:numId w:val="1"/>
        </w:numPr>
        <w:spacing w:after="60"/>
      </w:pPr>
      <w:r>
        <w:rPr>
          <w:rFonts w:ascii="Calibri" w:cs="Calibri" w:eastAsia="Calibri" w:hAnsi="Calibri"/>
          <w:color w:val="1F2937"/>
          <w:sz w:val="22"/>
          <w:szCs w:val="22"/>
        </w:rPr>
        <w:t xml:space="preserve">PS assurance-vie = 17,2 % : CONFIRMÉ</w:t>
      </w:r>
    </w:p>
    <w:p>
      <w:pPr>
        <w:pStyle w:val="ListParagraph"/>
        <w:numPr>
          <w:ilvl w:val="0"/>
          <w:numId w:val="1"/>
        </w:numPr>
        <w:spacing w:after="60"/>
      </w:pPr>
      <w:r>
        <w:rPr>
          <w:rFonts w:ascii="Calibri" w:cs="Calibri" w:eastAsia="Calibri" w:hAnsi="Calibri"/>
          <w:color w:val="1F2937"/>
          <w:sz w:val="22"/>
          <w:szCs w:val="22"/>
        </w:rPr>
        <w:t xml:space="preserve">Taux distribution SCPI 2025 = 4,92 % brut (source ASPIM Q1 2026) : URL accessible (HTTP 200), non relu intégralement — non contrôlé en profondeur</w:t>
      </w:r>
    </w:p>
    <w:p>
      <w:pPr>
        <w:spacing w:after="80" w:before="240"/>
      </w:pPr>
      <w:r>
        <w:rPr>
          <w:rFonts w:ascii="Calibri" w:cs="Calibri" w:eastAsia="Calibri" w:hAnsi="Calibri"/>
          <w:b/>
          <w:bCs/>
          <w:color w:val="1B3A6B"/>
          <w:sz w:val="24"/>
          <w:szCs w:val="24"/>
        </w:rPr>
        <w:t xml:space="preserve">Taux livrets réglementés (source : service-public.gouv.fr, vérifié 16/08/2026)</w:t>
      </w:r>
    </w:p>
    <w:p>
      <w:pPr>
        <w:pStyle w:val="ListParagraph"/>
        <w:numPr>
          <w:ilvl w:val="0"/>
          <w:numId w:val="1"/>
        </w:numPr>
        <w:spacing w:after="60"/>
      </w:pPr>
      <w:r>
        <w:rPr>
          <w:rFonts w:ascii="Calibri" w:cs="Calibri" w:eastAsia="Calibri" w:hAnsi="Calibri"/>
          <w:color w:val="1F2937"/>
          <w:sz w:val="22"/>
          <w:szCs w:val="22"/>
        </w:rPr>
        <w:t xml:space="preserve">Livret A : 1,7 % depuis le 01/08/2026 (arrêté du 28/07/2026) — hausse de 1,5 % à 1,7 %</w:t>
      </w:r>
    </w:p>
    <w:p>
      <w:pPr>
        <w:pStyle w:val="ListParagraph"/>
        <w:numPr>
          <w:ilvl w:val="0"/>
          <w:numId w:val="1"/>
        </w:numPr>
        <w:spacing w:after="60"/>
      </w:pPr>
      <w:r>
        <w:rPr>
          <w:rFonts w:ascii="Calibri" w:cs="Calibri" w:eastAsia="Calibri" w:hAnsi="Calibri"/>
          <w:color w:val="1F2937"/>
          <w:sz w:val="22"/>
          <w:szCs w:val="22"/>
        </w:rPr>
        <w:t xml:space="preserve">LDDS : même taux que Livret A, soit 1,7 % depuis 01/08/2026 (confirmé service-public.gouv.fr F2368)</w:t>
      </w:r>
    </w:p>
    <w:p>
      <w:pPr>
        <w:pStyle w:val="ListParagraph"/>
        <w:numPr>
          <w:ilvl w:val="0"/>
          <w:numId w:val="1"/>
        </w:numPr>
        <w:spacing w:after="60"/>
      </w:pPr>
      <w:r>
        <w:rPr>
          <w:rFonts w:ascii="Calibri" w:cs="Calibri" w:eastAsia="Calibri" w:hAnsi="Calibri"/>
          <w:color w:val="1F2937"/>
          <w:sz w:val="22"/>
          <w:szCs w:val="22"/>
        </w:rPr>
        <w:t xml:space="preserve">LEP : 2,50 % depuis le 01/08/2026 (réduit de 2,7 %) (service-public.gouv.fr F2367)</w:t>
      </w:r>
    </w:p>
    <w:p>
      <w:pPr>
        <w:spacing w:after="80"/>
      </w:pPr>
      <w:r>
        <w:rPr>
          <w:rFonts w:ascii="Calibri" w:cs="Calibri" w:eastAsia="Calibri" w:hAnsi="Calibri"/>
          <w:color w:val="1F2937"/>
          <w:sz w:val="22"/>
          <w:szCs w:val="22"/>
        </w:rPr>
        <w:t xml:space="preserve">Note : ni la leçon placement-financier_10 ni la leçon revenus-passifs_04 ne citent les taux nominaux des livrets — ces taux n'ont pas eu à être vérifiés dans le corps des leçons.</w:t>
      </w:r>
    </w:p>
    <w:p>
      <w:pPr>
        <w:spacing w:after="80" w:before="240"/>
      </w:pPr>
      <w:r>
        <w:rPr>
          <w:rFonts w:ascii="Calibri" w:cs="Calibri" w:eastAsia="Calibri" w:hAnsi="Calibri"/>
          <w:b/>
          <w:bCs/>
          <w:color w:val="1B3A6B"/>
          <w:sz w:val="24"/>
          <w:szCs w:val="24"/>
        </w:rPr>
        <w:t xml:space="preserve">Citations et attributions</w:t>
      </w:r>
    </w:p>
    <w:p>
      <w:pPr>
        <w:pStyle w:val="ListParagraph"/>
        <w:numPr>
          <w:ilvl w:val="0"/>
          <w:numId w:val="1"/>
        </w:numPr>
        <w:spacing w:after="60"/>
      </w:pPr>
      <w:r>
        <w:rPr>
          <w:rFonts w:ascii="Calibri" w:cs="Calibri" w:eastAsia="Calibri" w:hAnsi="Calibri"/>
          <w:color w:val="1F2937"/>
          <w:sz w:val="22"/>
          <w:szCs w:val="22"/>
        </w:rPr>
        <w:t xml:space="preserve">Leçon stoïcisme_10 : la seule citation entre guillemets (Épictète) est explicitement qualifiée de "reformulation d'après la Stoic Fellowship Wiki (non citation mot-à-mot)". Correct.</w:t>
      </w:r>
    </w:p>
    <w:p>
      <w:pPr>
        <w:pStyle w:val="ListParagraph"/>
        <w:numPr>
          <w:ilvl w:val="0"/>
          <w:numId w:val="1"/>
        </w:numPr>
        <w:spacing w:after="60"/>
      </w:pPr>
      <w:r>
        <w:rPr>
          <w:rFonts w:ascii="Calibri" w:cs="Calibri" w:eastAsia="Calibri" w:hAnsi="Calibri"/>
          <w:color w:val="1F2937"/>
          <w:sz w:val="22"/>
          <w:szCs w:val="22"/>
        </w:rPr>
        <w:t xml:space="preserve">Leçons astrologie karmique_01 et _02 : toutes les propositions interprétatives sont attribuées (Schulman, Spiller, Greene) avec distinction explicite fait/convention/interprétation. Encadrés de garde-fous présents. Conforme aux règles du parcours.</w:t>
      </w:r>
    </w:p>
    <w:p>
      <w:pPr>
        <w:pStyle w:val="ListParagraph"/>
        <w:numPr>
          <w:ilvl w:val="0"/>
          <w:numId w:val="1"/>
        </w:numPr>
        <w:spacing w:after="60"/>
      </w:pPr>
      <w:r>
        <w:rPr>
          <w:rFonts w:ascii="Calibri" w:cs="Calibri" w:eastAsia="Calibri" w:hAnsi="Calibri"/>
          <w:color w:val="1F2937"/>
          <w:sz w:val="22"/>
          <w:szCs w:val="22"/>
        </w:rPr>
        <w:t xml:space="preserve">Leçon hypnose_09 : référence PMC13024316 vérifiée — article sur "Hypnosis as a Mechanism of Emotion Regulation and Self-Integration" (Behavioral Sciences). Pertinence confirmée.</w:t>
      </w:r>
    </w:p>
    <w:p>
      <w:pPr>
        <w:pStyle w:val="ListParagraph"/>
        <w:numPr>
          <w:ilvl w:val="0"/>
          <w:numId w:val="1"/>
        </w:numPr>
        <w:spacing w:after="60"/>
      </w:pPr>
      <w:r>
        <w:rPr>
          <w:rFonts w:ascii="Calibri" w:cs="Calibri" w:eastAsia="Calibri" w:hAnsi="Calibri"/>
          <w:color w:val="1F2937"/>
          <w:sz w:val="22"/>
          <w:szCs w:val="22"/>
        </w:rPr>
        <w:t xml:space="preserve">Référence arXiv 2603.25146 (appli-ia_01) : article "Factors Influencing the Quality of AI-Generated Code: A Synthesis of Empirical Evidence", Geruslu et al., 26/03/2026. Confirmé HTTP 200 et titre/auteurs cohérents avec la description dans la leçon.</w:t>
      </w:r>
    </w:p>
    <w:p>
      <w:pPr>
        <w:spacing w:after="80" w:before="240"/>
      </w:pPr>
      <w:r>
        <w:rPr>
          <w:rFonts w:ascii="Calibri" w:cs="Calibri" w:eastAsia="Calibri" w:hAnsi="Calibri"/>
          <w:b/>
          <w:bCs/>
          <w:color w:val="1B3A6B"/>
          <w:sz w:val="24"/>
          <w:szCs w:val="24"/>
        </w:rPr>
        <w:t xml:space="preserve">Fenêtre temporelle des veilles</w:t>
      </w:r>
    </w:p>
    <w:p>
      <w:pPr>
        <w:pStyle w:val="ListParagraph"/>
        <w:numPr>
          <w:ilvl w:val="0"/>
          <w:numId w:val="1"/>
        </w:numPr>
        <w:spacing w:after="60"/>
      </w:pPr>
      <w:r>
        <w:rPr>
          <w:rFonts w:ascii="Calibri" w:cs="Calibri" w:eastAsia="Calibri" w:hAnsi="Calibri"/>
          <w:color w:val="1F2937"/>
          <w:sz w:val="22"/>
          <w:szCs w:val="22"/>
        </w:rPr>
        <w:t xml:space="preserve">Veille HAS (10/08) : fenêtre 03–10/08/2026. Aucune publication ESSMS dans la fenêtre déclarée — le document le signale explicitement et présente les éléments hors fenêtre avec leurs dates. Cohérent.</w:t>
      </w:r>
    </w:p>
    <w:p>
      <w:pPr>
        <w:pStyle w:val="ListParagraph"/>
        <w:numPr>
          <w:ilvl w:val="0"/>
          <w:numId w:val="1"/>
        </w:numPr>
        <w:spacing w:after="60"/>
      </w:pPr>
      <w:r>
        <w:rPr>
          <w:rFonts w:ascii="Calibri" w:cs="Calibri" w:eastAsia="Calibri" w:hAnsi="Calibri"/>
          <w:color w:val="1F2937"/>
          <w:sz w:val="22"/>
          <w:szCs w:val="22"/>
        </w:rPr>
        <w:t xml:space="preserve">Veille SERAFIN-PH (12/08) : fenêtre 05–12/08/2026. "Semaine creuse" déclarée, aucun élément de la fenêtre. Les rappels contextuels sont tous datés et sources identifiées. Cohérent.</w:t>
      </w:r>
    </w:p>
    <w:p>
      <w:pPr>
        <w:pStyle w:val="ListParagraph"/>
        <w:numPr>
          <w:ilvl w:val="0"/>
          <w:numId w:val="1"/>
        </w:numPr>
        <w:spacing w:after="60"/>
      </w:pPr>
      <w:r>
        <w:rPr>
          <w:rFonts w:ascii="Calibri" w:cs="Calibri" w:eastAsia="Calibri" w:hAnsi="Calibri"/>
          <w:color w:val="1F2937"/>
          <w:sz w:val="22"/>
          <w:szCs w:val="22"/>
        </w:rPr>
        <w:t xml:space="preserve">Veille iMac (16/08) : fenêtre 09–16/08/2026. L'article MacRumors du 10/08/2026 (Mark Gurman, iMac rafraîchi octobre) est dans la fenêtre. Sources secondaires hors fenêtre correctement qualifiées. Cohérent.</w:t>
      </w:r>
    </w:p>
    <w:p>
      <w:pPr>
        <w:spacing w:after="80" w:before="240"/>
      </w:pPr>
      <w:r>
        <w:rPr>
          <w:rFonts w:ascii="Calibri" w:cs="Calibri" w:eastAsia="Calibri" w:hAnsi="Calibri"/>
          <w:b/>
          <w:bCs/>
          <w:color w:val="1B3A6B"/>
          <w:sz w:val="24"/>
          <w:szCs w:val="24"/>
        </w:rPr>
        <w:t xml:space="preserve">Décomptes de sources</w:t>
      </w:r>
    </w:p>
    <w:p>
      <w:pPr>
        <w:pStyle w:val="ListParagraph"/>
        <w:numPr>
          <w:ilvl w:val="0"/>
          <w:numId w:val="1"/>
        </w:numPr>
        <w:spacing w:after="60"/>
      </w:pPr>
      <w:r>
        <w:rPr>
          <w:rFonts w:ascii="Calibri" w:cs="Calibri" w:eastAsia="Calibri" w:hAnsi="Calibri"/>
          <w:color w:val="1F2937"/>
          <w:sz w:val="22"/>
          <w:szCs w:val="22"/>
        </w:rPr>
        <w:t xml:space="preserve">Veille SERAFIN-PH : "4 sources primaires consultées ✅" — décompte vérifié : handicap.gouv.fr + cnsa.fr (2 pages) + legifrance.gouv.fr = 4. Correct.</w:t>
      </w:r>
    </w:p>
    <w:p>
      <w:pPr>
        <w:pStyle w:val="ListParagraph"/>
        <w:numPr>
          <w:ilvl w:val="0"/>
          <w:numId w:val="1"/>
        </w:numPr>
        <w:spacing w:after="60"/>
      </w:pPr>
      <w:r>
        <w:rPr>
          <w:rFonts w:ascii="Calibri" w:cs="Calibri" w:eastAsia="Calibri" w:hAnsi="Calibri"/>
          <w:color w:val="1F2937"/>
          <w:sz w:val="22"/>
          <w:szCs w:val="22"/>
        </w:rPr>
        <w:t xml:space="preserve">Veille HAS : 4 URLs dans le fichier .rels, toutes HTTP 200. Cohérent avec les 4 éléments présentés.</w:t>
      </w:r>
    </w:p>
    <w:p>
      <w:pPr>
        <w:spacing w:after="120" w:before="120"/>
      </w:pPr>
      <w:r>
        <w:rPr>
          <w:rFonts w:ascii="Calibri" w:cs="Calibri" w:eastAsia="Calibri" w:hAnsi="Calibri"/>
          <w:color w:val="CCCCCC"/>
          <w:sz w:val="18"/>
          <w:szCs w:val="18"/>
        </w:rPr>
        <w:t xml:space="preserve">────────────────────────────────────────────────────────────────────────────────</w:t>
      </w:r>
    </w:p>
    <w:p>
      <w:pPr>
        <w:spacing w:after="120" w:before="360"/>
      </w:pPr>
      <w:r>
        <w:rPr>
          <w:rFonts w:ascii="Calibri" w:cs="Calibri" w:eastAsia="Calibri" w:hAnsi="Calibri"/>
          <w:b/>
          <w:bCs/>
          <w:color w:val="1B3A6B"/>
          <w:sz w:val="28"/>
          <w:szCs w:val="28"/>
        </w:rPr>
        <w:t xml:space="preserve">🔍 Non vérifiable lors de ce contrôle</w:t>
      </w:r>
    </w:p>
    <w:p>
      <w:pPr>
        <w:pStyle w:val="ListParagraph"/>
        <w:numPr>
          <w:ilvl w:val="0"/>
          <w:numId w:val="1"/>
        </w:numPr>
        <w:spacing w:after="60"/>
      </w:pPr>
      <w:r>
        <w:rPr>
          <w:rFonts w:ascii="Calibri" w:cs="Calibri" w:eastAsia="Calibri" w:hAnsi="Calibri"/>
          <w:color w:val="1F2937"/>
          <w:sz w:val="22"/>
          <w:szCs w:val="22"/>
        </w:rPr>
        <w:t xml:space="preserve">Taux cotisations micro-entrepreneur 2026 sur la source primaire urssaf.fr : site autoentrepreneur.urssaf.fr inaccessible (ECONNRESET) — même restriction que lors de la production. Sources secondaires concordantes utilisées pour identifier l'erreur BIC vente (voir Défaut 1).</w:t>
      </w:r>
    </w:p>
    <w:p>
      <w:pPr>
        <w:pStyle w:val="ListParagraph"/>
        <w:numPr>
          <w:ilvl w:val="0"/>
          <w:numId w:val="1"/>
        </w:numPr>
        <w:spacing w:after="60"/>
      </w:pPr>
      <w:r>
        <w:rPr>
          <w:rFonts w:ascii="Calibri" w:cs="Calibri" w:eastAsia="Calibri" w:hAnsi="Calibri"/>
          <w:color w:val="1F2937"/>
          <w:sz w:val="22"/>
          <w:szCs w:val="22"/>
        </w:rPr>
        <w:t xml:space="preserve">Prix iMac M4 sur apple.com/fr : timeout réseau persistant depuis cet environnement. Non vérifiable.</w:t>
      </w:r>
    </w:p>
    <w:p>
      <w:pPr>
        <w:pStyle w:val="ListParagraph"/>
        <w:numPr>
          <w:ilvl w:val="0"/>
          <w:numId w:val="1"/>
        </w:numPr>
        <w:spacing w:after="60"/>
      </w:pPr>
      <w:r>
        <w:rPr>
          <w:rFonts w:ascii="Calibri" w:cs="Calibri" w:eastAsia="Calibri" w:hAnsi="Calibri"/>
          <w:color w:val="1F2937"/>
          <w:sz w:val="22"/>
          <w:szCs w:val="22"/>
        </w:rPr>
        <w:t xml:space="preserve">Prix des revendeurs Fnac/Darty : blocage 403 anti-robot.</w:t>
      </w:r>
    </w:p>
    <w:p>
      <w:pPr>
        <w:pStyle w:val="ListParagraph"/>
        <w:numPr>
          <w:ilvl w:val="0"/>
          <w:numId w:val="1"/>
        </w:numPr>
        <w:spacing w:after="60"/>
      </w:pPr>
      <w:r>
        <w:rPr>
          <w:rFonts w:ascii="Calibri" w:cs="Calibri" w:eastAsia="Calibri" w:hAnsi="Calibri"/>
          <w:color w:val="1F2937"/>
          <w:sz w:val="22"/>
          <w:szCs w:val="22"/>
        </w:rPr>
        <w:t xml:space="preserve">Taux de distribution SCPI 2025 à 4,92 % (source ASPIM) : URL accessible (HTTP 200) mais non relu en profondeur.</w:t>
      </w:r>
    </w:p>
    <w:p>
      <w:pPr>
        <w:pStyle w:val="ListParagraph"/>
        <w:numPr>
          <w:ilvl w:val="0"/>
          <w:numId w:val="1"/>
        </w:numPr>
        <w:spacing w:after="60"/>
      </w:pPr>
      <w:r>
        <w:rPr>
          <w:rFonts w:ascii="Calibri" w:cs="Calibri" w:eastAsia="Calibri" w:hAnsi="Calibri"/>
          <w:color w:val="1F2937"/>
          <w:sz w:val="22"/>
          <w:szCs w:val="22"/>
        </w:rPr>
        <w:t xml:space="preserve">Contenu des leçons appli-ia (code TypeScript/Node.js) : la vérification technique de l'exactitude du code dépasse le périmètre d'un contrôle mécanique — non évaluée.</w:t>
      </w:r>
    </w:p>
    <w:p>
      <w:pPr>
        <w:pStyle w:val="ListParagraph"/>
        <w:numPr>
          <w:ilvl w:val="0"/>
          <w:numId w:val="1"/>
        </w:numPr>
        <w:spacing w:after="60"/>
      </w:pPr>
      <w:r>
        <w:rPr>
          <w:rFonts w:ascii="Calibri" w:cs="Calibri" w:eastAsia="Calibri" w:hAnsi="Calibri"/>
          <w:color w:val="1F2937"/>
          <w:sz w:val="22"/>
          <w:szCs w:val="22"/>
        </w:rPr>
        <w:t xml:space="preserve">Exactitude des données astronomiques (leçons astrologie karmique) : les sources IMCCE et Observatoire de Paris sont accessibles (HTTP 200) mais une vérification des valeurs numériques (précession, ayanamsa) n'a pas été réalisée dans ce contrôle.</w:t>
      </w:r>
    </w:p>
    <w:p>
      <w:pPr>
        <w:pStyle w:val="ListParagraph"/>
        <w:numPr>
          <w:ilvl w:val="0"/>
          <w:numId w:val="1"/>
        </w:numPr>
        <w:spacing w:after="60"/>
      </w:pPr>
      <w:r>
        <w:rPr>
          <w:rFonts w:ascii="Calibri" w:cs="Calibri" w:eastAsia="Calibri" w:hAnsi="Calibri"/>
          <w:color w:val="1F2937"/>
          <w:sz w:val="22"/>
          <w:szCs w:val="22"/>
        </w:rPr>
        <w:t xml:space="preserve">Contenu des pages legifrance.gouv.fr référencées dans la veille SERAFIN-PH (décret n° 2026-376) : URL non testée (absente des .rels, présente sous forme tronquée dans le texte).</w:t>
      </w:r>
    </w:p>
    <w:p>
      <w:pPr>
        <w:spacing w:after="120" w:before="120"/>
      </w:pPr>
      <w:r>
        <w:rPr>
          <w:rFonts w:ascii="Calibri" w:cs="Calibri" w:eastAsia="Calibri" w:hAnsi="Calibri"/>
          <w:color w:val="CCCCCC"/>
          <w:sz w:val="18"/>
          <w:szCs w:val="18"/>
        </w:rPr>
        <w:t xml:space="preserve">────────────────────────────────────────────────────────────────────────────────</w:t>
      </w:r>
    </w:p>
    <w:p>
      <w:pPr>
        <w:spacing w:after="100" w:before="200"/>
        <w:jc w:val="center"/>
      </w:pPr>
      <w:r>
        <w:rPr>
          <w:rFonts w:ascii="Calibri" w:cs="Calibri" w:eastAsia="Calibri" w:hAnsi="Calibri"/>
          <w:i/>
          <w:iCs/>
          <w:color w:val="6B7280"/>
          <w:sz w:val="18"/>
          <w:szCs w:val="18"/>
        </w:rPr>
        <w:t xml:space="preserve">Livrables contrôlés : 17  ·  URLs déclarées total : 91  ·  URLs testées total : 91
Chiffres vérifiés à source primaire : 9 (PFU, PS placements, PS foncier, PS assurance-vie, PEA, AV&gt;8ans, micro-foncier seuil+abattement, Livret A 1,7%, LEP 2,5%)
Défauts 🔴 : 1  ·  Points de vigilance 🟠 : 5  ·  Liens morts : 0
Modèle : claude-sonnet-4-6  ·  Produit le 16/08/2026</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snwjl07w96ff1etatzzd" Type="http://schemas.openxmlformats.org/officeDocument/2006/relationships/hyperlink" Target="https://www.lecoindesentrepreneurs.fr/taux-cotisations-sociales-2026-micro-entrepreneu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2026-08-16T09:15:38.223Z</dcterms:created>
  <dcterms:modified xsi:type="dcterms:W3CDTF">2026-08-16T09:15:38.235Z</dcterms:modified>
</cp:coreProperties>
</file>

<file path=docProps/custom.xml><?xml version="1.0" encoding="utf-8"?>
<Properties xmlns="http://schemas.openxmlformats.org/officeDocument/2006/custom-properties" xmlns:vt="http://schemas.openxmlformats.org/officeDocument/2006/docPropsVTypes"/>
</file>