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RGPD — Compte-rendu hebdomadaire</w:t>
      </w:r>
    </w:p>
    <w:p>
      <w:pPr>
        <w:spacing w:after="300"/>
        <w:jc w:val="center"/>
      </w:pPr>
      <w:r>
        <w:rPr>
          <w:rFonts w:ascii="Calibri" w:cs="Calibri" w:eastAsia="Calibri" w:hAnsi="Calibri"/>
          <w:color w:val="1B3A6B"/>
          <w:sz w:val="28"/>
          <w:szCs w:val="28"/>
        </w:rPr>
        <w:t xml:space="preserve">Semaine du 12 au 19 juillet 2026 · Produit le 19 juillet 2026</w:t>
      </w:r>
    </w:p>
    <w:p>
      <w:pPr>
        <w:spacing w:after="200"/>
        <w:jc w:val="center"/>
      </w:pPr>
      <w:r>
        <w:rPr>
          <w:rFonts w:ascii="Calibri" w:cs="Calibri" w:eastAsia="Calibri" w:hAnsi="Calibri"/>
          <w:b/>
          <w:bCs/>
          <w:color w:val="D97706"/>
          <w:sz w:val="28"/>
          <w:szCs w:val="28"/>
        </w:rPr>
        <w:t xml:space="preserve">🟡 Niveau d'alerte : À surveiller</w:t>
      </w:r>
    </w:p>
    <w:p>
      <w:pPr>
        <w:spacing w:after="400"/>
        <w:jc w:val="center"/>
      </w:pPr>
      <w:r>
        <w:rPr>
          <w:rFonts w:ascii="Calibri" w:cs="Calibri" w:eastAsia="Calibri" w:hAnsi="Calibri"/>
          <w:color w:val="1F2937"/>
          <w:sz w:val="22"/>
          <w:szCs w:val="22"/>
        </w:rPr>
        <w:t xml:space="preserve">Sources exploitées : 6/7  |  Mode : WebFetch + WebSearch (headless)</w:t>
      </w:r>
    </w:p>
    <w:p>
      <w:pPr>
        <w:pBdr>
          <w:bottom w:val="single" w:color="1B3A6B" w:sz="4"/>
        </w:pBdr>
        <w:spacing w:after="120" w:before="400"/>
      </w:pPr>
      <w:r>
        <w:rPr>
          <w:rFonts w:ascii="Calibri" w:cs="Calibri" w:eastAsia="Calibri" w:hAnsi="Calibri"/>
          <w:b/>
          <w:bCs/>
          <w:color w:val="1B3A6B"/>
          <w:sz w:val="28"/>
          <w:szCs w:val="28"/>
        </w:rPr>
        <w:t xml:space="preserve">🔵 En bref — semaine du 12 au 19 juillet 2026</w:t>
      </w:r>
    </w:p>
    <w:p>
      <w:pPr>
        <w:pStyle w:val="ListParagraph"/>
        <w:numPr>
          <w:ilvl w:val="0"/>
          <w:numId w:val="1"/>
        </w:numPr>
        <w:spacing w:after="80"/>
      </w:pPr>
      <w:r>
        <w:rPr>
          <w:rFonts w:ascii="Calibri" w:cs="Calibri" w:eastAsia="Calibri" w:hAnsi="Calibri"/>
          <w:color w:val="1F2937"/>
          <w:sz w:val="22"/>
          <w:szCs w:val="22"/>
        </w:rPr>
        <w:t xml:space="preserve">CJUE C-474/24 (14/07/2026) : la publication en ligne du nom d'un sportif sanctionné constitue un traitement de données personnelles soumis au RGPD ; contrôle de proportionnalité renforcé exigé.</w:t>
      </w:r>
    </w:p>
    <w:p>
      <w:pPr>
        <w:pStyle w:val="ListParagraph"/>
        <w:numPr>
          <w:ilvl w:val="0"/>
          <w:numId w:val="1"/>
        </w:numPr>
        <w:spacing w:after="80"/>
      </w:pPr>
      <w:r>
        <w:rPr>
          <w:rFonts w:ascii="Calibri" w:cs="Calibri" w:eastAsia="Calibri" w:hAnsi="Calibri"/>
          <w:color w:val="1F2937"/>
          <w:sz w:val="22"/>
          <w:szCs w:val="22"/>
        </w:rPr>
        <w:t xml:space="preserve">EDPB (14/07/2026) : l'EDPB ordonne à l'autorité belge de traiter sur le fond la plainte NOYB contre la bannière cookies de VRT — les rejets purement procéduraux ne suffisent pas.</w:t>
      </w:r>
    </w:p>
    <w:p>
      <w:pPr>
        <w:pStyle w:val="ListParagraph"/>
        <w:numPr>
          <w:ilvl w:val="0"/>
          <w:numId w:val="1"/>
        </w:numPr>
        <w:spacing w:after="80"/>
      </w:pPr>
      <w:r>
        <w:rPr>
          <w:rFonts w:ascii="Calibri" w:cs="Calibri" w:eastAsia="Calibri" w:hAnsi="Calibri"/>
          <w:color w:val="1F2937"/>
          <w:sz w:val="22"/>
          <w:szCs w:val="22"/>
        </w:rPr>
        <w:t xml:space="preserve">EDPB (17/07/2026) : appel à la Commission européenne pour instaurer une base légale habilitant les régulateurs à s'échanger des informations confidentielles inter-sectorielles.</w:t>
      </w:r>
    </w:p>
    <w:p>
      <w:pPr>
        <w:pStyle w:val="ListParagraph"/>
        <w:numPr>
          <w:ilvl w:val="0"/>
          <w:numId w:val="1"/>
        </w:numPr>
        <w:spacing w:after="80"/>
      </w:pPr>
      <w:r>
        <w:rPr>
          <w:rFonts w:ascii="Calibri" w:cs="Calibri" w:eastAsia="Calibri" w:hAnsi="Calibri"/>
          <w:color w:val="1F2937"/>
          <w:sz w:val="22"/>
          <w:szCs w:val="22"/>
        </w:rPr>
        <w:t xml:space="preserve">AEPD (16/07/2026) : l'autorité espagnole sanctionne 23andMe à son tour pour la fuite de données génétiques de 2023 — cinquième autorité européenne à agir dans ce dossier.</w:t>
      </w:r>
    </w:p>
    <w:p>
      <w:pPr>
        <w:pStyle w:val="ListParagraph"/>
        <w:numPr>
          <w:ilvl w:val="0"/>
          <w:numId w:val="1"/>
        </w:numPr>
        <w:spacing w:after="80"/>
      </w:pPr>
      <w:r>
        <w:rPr>
          <w:rFonts w:ascii="Calibri" w:cs="Calibri" w:eastAsia="Calibri" w:hAnsi="Calibri"/>
          <w:color w:val="1F2937"/>
          <w:sz w:val="22"/>
          <w:szCs w:val="22"/>
        </w:rPr>
        <w:t xml:space="preserve">CNIL (10/07/2026) : mise en ligne du webinaire sur le nouveau téléservice santé &amp; recherche, expliquant les changements aux procédures d'autorisation CNIL.</w:t>
      </w:r>
    </w:p>
    <w:p>
      <w:r>
        <w:t xml:space="preserve"/>
      </w:r>
    </w:p>
    <w:p>
      <w:pPr>
        <w:pBdr>
          <w:bottom w:val="single" w:color="1B3A6B" w:sz="4"/>
        </w:pBdr>
        <w:spacing w:after="120" w:before="400"/>
      </w:pPr>
      <w:r>
        <w:rPr>
          <w:rFonts w:ascii="Calibri" w:cs="Calibri" w:eastAsia="Calibri" w:hAnsi="Calibri"/>
          <w:b/>
          <w:bCs/>
          <w:color w:val="1B3A6B"/>
          <w:sz w:val="28"/>
          <w:szCs w:val="28"/>
        </w:rPr>
        <w:t xml:space="preserve">⚖️ Sanctions &amp; jurisprudence</w:t>
      </w:r>
    </w:p>
    <w:p>
      <w:pPr>
        <w:spacing w:after="120"/>
      </w:pPr>
      <w:r>
        <w:rPr>
          <w:rFonts w:ascii="Calibri" w:cs="Calibri" w:eastAsia="Calibri" w:hAnsi="Calibri"/>
          <w:color w:val="1F2937"/>
          <w:sz w:val="22"/>
          <w:szCs w:val="22"/>
        </w:rPr>
        <w:t xml:space="preserve">🔹 CJUE — Arrêt C-474/24, NADA Autriche e.a. — 14 juillet 2026</w:t>
      </w:r>
    </w:p>
    <w:p>
      <w:pPr>
        <w:spacing w:after="120"/>
      </w:pPr>
      <w:r>
        <w:rPr>
          <w:rFonts w:ascii="Calibri" w:cs="Calibri" w:eastAsia="Calibri" w:hAnsi="Calibri"/>
          <w:color w:val="1F2937"/>
          <w:sz w:val="22"/>
          <w:szCs w:val="22"/>
        </w:rPr>
        <w:t xml:space="preserve">La Cour de justice a jugé que la publication en ligne du nom d'un sportif sanctionné pour dopage, avec sa discipline, l'infraction et la durée de suspension, est soumise au RGPD. La lutte antidopage ne bénéficie d'aucune exemption. La base légale (obligation légale ou intérêt public) doit être explicitement documentée ; la durée de mise en ligne ne doit pas excéder celle de la sanction ; un retrait automatique doit être prévu. Les réclamations préventives sont jugées recevables si la publication est imminente.</w:t>
      </w:r>
    </w:p>
    <w:p>
      <w:pPr>
        <w:spacing w:after="80"/>
      </w:pPr>
      <w:hyperlink w:history="1" r:id="rIdjbktljdf6ax7pjdne5pn8">
        <w:r>
          <w:rPr>
            <w:rFonts w:ascii="Calibri" w:cs="Calibri" w:eastAsia="Calibri" w:hAnsi="Calibri"/>
            <w:color w:val="1155CC"/>
            <w:sz w:val="22"/>
            <w:szCs w:val="22"/>
            <w:u w:val="single"/>
          </w:rPr>
          <w:t xml:space="preserve">→ Source : donneespersonnelles.fr — CJUE C-474/24 (18/07/2026)</w:t>
        </w:r>
      </w:hyperlink>
    </w:p>
    <w:p>
      <w:pPr>
        <w:spacing w:after="120"/>
      </w:pPr>
      <w:r>
        <w:rPr>
          <w:rFonts w:ascii="Calibri" w:cs="Calibri" w:eastAsia="Calibri" w:hAnsi="Calibri"/>
          <w:color w:val="1F2937"/>
          <w:sz w:val="22"/>
          <w:szCs w:val="22"/>
        </w:rPr>
        <w:t xml:space="preserve">Enseignement : tout organisme publiant en ligne des décisions nominatives (sanctions disciplinaires, mesures d'exclusion) doit documenter sa base légale, limiter les données au strict nécessaire et prévoir un retrait automatique après expiration de la mesure.</w:t>
      </w:r>
    </w:p>
    <w:p>
      <w:r>
        <w:t xml:space="preserve"/>
      </w:r>
    </w:p>
    <w:p>
      <w:pPr>
        <w:spacing w:after="120"/>
      </w:pPr>
      <w:r>
        <w:rPr>
          <w:rFonts w:ascii="Calibri" w:cs="Calibri" w:eastAsia="Calibri" w:hAnsi="Calibri"/>
          <w:color w:val="1F2937"/>
          <w:sz w:val="22"/>
          <w:szCs w:val="22"/>
        </w:rPr>
        <w:t xml:space="preserve">🔹 EDPB — Décision Article 65 RGPD — 14 juillet 2026 (NOYB / VRT / bannières cookies)</w:t>
      </w:r>
    </w:p>
    <w:p>
      <w:pPr>
        <w:spacing w:after="120"/>
      </w:pPr>
      <w:r>
        <w:rPr>
          <w:rFonts w:ascii="Calibri" w:cs="Calibri" w:eastAsia="Calibri" w:hAnsi="Calibri"/>
          <w:color w:val="1F2937"/>
          <w:sz w:val="22"/>
          <w:szCs w:val="22"/>
        </w:rPr>
        <w:t xml:space="preserve">Suite à une plainte de NOYB contre VRT (télévision publique belge) portant sur la bannière cookies de son site, l'autorité belge avait proposé de classer sans enquête au fond. L'EDPB a considéré que le plaignant n'avait pas abusé de ses droits (art. 77 et 80-1 RGPD) et a ordonné à l'APD belge de statuer sur le fond du dossier. Signal clair : les autorités de contrôle ne peuvent pas systématiquement rejeter les plaintes NOYB sur des motifs procéduraux.</w:t>
      </w:r>
    </w:p>
    <w:p>
      <w:pPr>
        <w:spacing w:after="80"/>
      </w:pPr>
      <w:hyperlink w:history="1" r:id="rIdkycbw-s3h_c5enbylip2h">
        <w:r>
          <w:rPr>
            <w:rFonts w:ascii="Calibri" w:cs="Calibri" w:eastAsia="Calibri" w:hAnsi="Calibri"/>
            <w:color w:val="1155CC"/>
            <w:sz w:val="22"/>
            <w:szCs w:val="22"/>
            <w:u w:val="single"/>
          </w:rPr>
          <w:t xml:space="preserve">→ Source : EDPB — Décision 14/07/2026</w:t>
        </w:r>
      </w:hyperlink>
    </w:p>
    <w:p>
      <w:r>
        <w:t xml:space="preserve"/>
      </w:r>
    </w:p>
    <w:p>
      <w:pPr>
        <w:spacing w:after="120"/>
      </w:pPr>
      <w:r>
        <w:rPr>
          <w:rFonts w:ascii="Calibri" w:cs="Calibri" w:eastAsia="Calibri" w:hAnsi="Calibri"/>
          <w:color w:val="1F2937"/>
          <w:sz w:val="22"/>
          <w:szCs w:val="22"/>
        </w:rPr>
        <w:t xml:space="preserve">🔹 AEPD — Sanction 23andMe — 16 juillet 2026</w:t>
      </w:r>
    </w:p>
    <w:p>
      <w:pPr>
        <w:spacing w:after="120"/>
      </w:pPr>
      <w:r>
        <w:rPr>
          <w:rFonts w:ascii="Calibri" w:cs="Calibri" w:eastAsia="Calibri" w:hAnsi="Calibri"/>
          <w:color w:val="1F2937"/>
          <w:sz w:val="22"/>
          <w:szCs w:val="22"/>
        </w:rPr>
        <w:t xml:space="preserve">L'autorité espagnole de protection des données a infligé une sanction à 23andMe en lien avec la violation massive de données génétiques de 2023. Il s'agit de la cinquième autorité européenne à agir dans ce dossier transfrontalier. Cela confirme la tendance à la coordination accrue des autorités sur les violations impliquant des données biométriques ou génétiques (catégorie particulière, art. 9 RGPD).</w:t>
      </w:r>
    </w:p>
    <w:p>
      <w:pPr>
        <w:spacing w:after="80"/>
      </w:pPr>
      <w:hyperlink w:history="1" r:id="rId6j7l7hwxaizis0ix8ywrs">
        <w:r>
          <w:rPr>
            <w:rFonts w:ascii="Calibri" w:cs="Calibri" w:eastAsia="Calibri" w:hAnsi="Calibri"/>
            <w:color w:val="1155CC"/>
            <w:sz w:val="22"/>
            <w:szCs w:val="22"/>
            <w:u w:val="single"/>
          </w:rPr>
          <w:t xml:space="preserve">→ Source : donneespersonnelles.fr — AEPD / 23andMe (16/07/2026)</w:t>
        </w:r>
      </w:hyperlink>
    </w:p>
    <w:p>
      <w:r>
        <w:t xml:space="preserve"/>
      </w:r>
    </w:p>
    <w:p>
      <w:pPr>
        <w:pBdr>
          <w:bottom w:val="single" w:color="1B3A6B" w:sz="4"/>
        </w:pBdr>
        <w:spacing w:after="120" w:before="400"/>
      </w:pPr>
      <w:r>
        <w:rPr>
          <w:rFonts w:ascii="Calibri" w:cs="Calibri" w:eastAsia="Calibri" w:hAnsi="Calibri"/>
          <w:b/>
          <w:bCs/>
          <w:color w:val="1B3A6B"/>
          <w:sz w:val="28"/>
          <w:szCs w:val="28"/>
        </w:rPr>
        <w:t xml:space="preserve">🏛️ Doctrine &amp; lignes directrices</w:t>
      </w:r>
    </w:p>
    <w:p>
      <w:pPr>
        <w:spacing w:after="120"/>
      </w:pPr>
      <w:r>
        <w:rPr>
          <w:rFonts w:ascii="Calibri" w:cs="Calibri" w:eastAsia="Calibri" w:hAnsi="Calibri"/>
          <w:color w:val="1F2937"/>
          <w:sz w:val="22"/>
          <w:szCs w:val="22"/>
        </w:rPr>
        <w:t xml:space="preserve">🔹 EDPB — 17 juillet 2026 : base légale pour le partage transsectoriel d'informations</w:t>
      </w:r>
    </w:p>
    <w:p>
      <w:pPr>
        <w:spacing w:after="120"/>
      </w:pPr>
      <w:r>
        <w:rPr>
          <w:rFonts w:ascii="Calibri" w:cs="Calibri" w:eastAsia="Calibri" w:hAnsi="Calibri"/>
          <w:color w:val="1F2937"/>
          <w:sz w:val="22"/>
          <w:szCs w:val="22"/>
        </w:rPr>
        <w:t xml:space="preserve">L'EDPB a adressé une demande formelle à la Commission européenne pour qu'une législation habilitante soit adoptée, permettant aux autorités de contrôle de partager des informations confidentielles avec d'autres régulateurs sectoriels (santé, cybersécurité, finance). L'objectif est de fluidifier les enquêtes impliquant plusieurs régulateurs et de renforcer la cohérence de l'application du RGPD dans des contextes complexes (données de santé partagées entre acteurs numériques et ESSMS, par exemple).</w:t>
      </w:r>
    </w:p>
    <w:p>
      <w:pPr>
        <w:spacing w:after="80"/>
      </w:pPr>
      <w:hyperlink w:history="1" r:id="rIdtoiujgshblnseqihsptwu">
        <w:r>
          <w:rPr>
            <w:rFonts w:ascii="Calibri" w:cs="Calibri" w:eastAsia="Calibri" w:hAnsi="Calibri"/>
            <w:color w:val="1155CC"/>
            <w:sz w:val="22"/>
            <w:szCs w:val="22"/>
            <w:u w:val="single"/>
          </w:rPr>
          <w:t xml:space="preserve">→ Source : EDPB News — 17/07/2026</w:t>
        </w:r>
      </w:hyperlink>
    </w:p>
    <w:p>
      <w:r>
        <w:t xml:space="preserve"/>
      </w:r>
    </w:p>
    <w:p>
      <w:pPr>
        <w:spacing w:after="120"/>
      </w:pPr>
      <w:r>
        <w:rPr>
          <w:rFonts w:ascii="Calibri" w:cs="Calibri" w:eastAsia="Calibri" w:hAnsi="Calibri"/>
          <w:color w:val="1F2937"/>
          <w:sz w:val="22"/>
          <w:szCs w:val="22"/>
        </w:rPr>
        <w:t xml:space="preserve">🔹 CNIL — 10 juillet 2026 : webinaire nouveau téléservice santé &amp; recherche</w:t>
      </w:r>
    </w:p>
    <w:p>
      <w:pPr>
        <w:spacing w:after="120"/>
      </w:pPr>
      <w:r>
        <w:rPr>
          <w:rFonts w:ascii="Calibri" w:cs="Calibri" w:eastAsia="Calibri" w:hAnsi="Calibri"/>
          <w:color w:val="1F2937"/>
          <w:sz w:val="22"/>
          <w:szCs w:val="22"/>
        </w:rPr>
        <w:t xml:space="preserve">La CNIL a mis en ligne le replay de son webinaire expliquant les modifications apportées au téléservice consacré aux demandes d'autorisation dans les domaines de la santé et de la recherche. Ce changement impacte les procédures de demande d'autorisation et de déclaration de conformité pour les traitements de données de santé (y compris les ESSMS menant des études ou utilisant des entrepôts de données de santé).</w:t>
      </w:r>
    </w:p>
    <w:p>
      <w:pPr>
        <w:spacing w:after="80"/>
      </w:pPr>
      <w:hyperlink w:history="1" r:id="rId8eh6yxeqz1zhdjfmm8jsr">
        <w:r>
          <w:rPr>
            <w:rFonts w:ascii="Calibri" w:cs="Calibri" w:eastAsia="Calibri" w:hAnsi="Calibri"/>
            <w:color w:val="1155CC"/>
            <w:sz w:val="22"/>
            <w:szCs w:val="22"/>
            <w:u w:val="single"/>
          </w:rPr>
          <w:t xml:space="preserve">→ Source : CNIL — Webinaire téléservice santé (10/07/2026)</w:t>
        </w:r>
      </w:hyperlink>
    </w:p>
    <w:p>
      <w:r>
        <w:t xml:space="preserve"/>
      </w:r>
    </w:p>
    <w:p>
      <w:pPr>
        <w:pBdr>
          <w:bottom w:val="single" w:color="1B3A6B" w:sz="4"/>
        </w:pBdr>
        <w:spacing w:after="120" w:before="400"/>
      </w:pPr>
      <w:r>
        <w:rPr>
          <w:rFonts w:ascii="Calibri" w:cs="Calibri" w:eastAsia="Calibri" w:hAnsi="Calibri"/>
          <w:b/>
          <w:bCs/>
          <w:color w:val="1B3A6B"/>
          <w:sz w:val="28"/>
          <w:szCs w:val="28"/>
        </w:rPr>
        <w:t xml:space="preserve">🏥 Focus santé / médico-social</w:t>
      </w:r>
    </w:p>
    <w:p>
      <w:pPr>
        <w:spacing w:after="120"/>
      </w:pPr>
      <w:r>
        <w:rPr>
          <w:rFonts w:ascii="Calibri" w:cs="Calibri" w:eastAsia="Calibri" w:hAnsi="Calibri"/>
          <w:color w:val="1F2937"/>
          <w:sz w:val="22"/>
          <w:szCs w:val="22"/>
        </w:rPr>
        <w:t xml:space="preserve">Nouveau téléservice CNIL santé &amp; recherche (10/07/2026) : les ESSMS qui conduisent des recherches internes ou des études sur les personnes accompagnées, ou qui déclarent des traitements de données de santé, doivent s'assurer de connaître le nouveau fonctionnement du téléservice. Le webinaire CNIL est disponible en replay.</w:t>
      </w:r>
    </w:p>
    <w:p>
      <w:pPr>
        <w:spacing w:after="120"/>
      </w:pPr>
      <w:r>
        <w:rPr>
          <w:rFonts w:ascii="Calibri" w:cs="Calibri" w:eastAsia="Calibri" w:hAnsi="Calibri"/>
          <w:color w:val="1F2937"/>
          <w:sz w:val="22"/>
          <w:szCs w:val="22"/>
        </w:rPr>
        <w:t xml:space="preserve">Données génétiques / biométriques (sanction AEPD / 23andMe) : les données génétiques relèvent de l'art. 9 RGPD (catégories particulières). La coordination internationale des autorités sur les violations de ces données se renforce. Pour un foyer d'hébergement, cela concerne surtout les tests génétiques évoqués dans le dossier de santé d'une personne accompagnée — leur traitement requiert une base légale renforcée et une AIPD.</w:t>
      </w:r>
    </w:p>
    <w:p>
      <w:pPr>
        <w:spacing w:after="120"/>
      </w:pPr>
      <w:r>
        <w:rPr>
          <w:rFonts w:ascii="Calibri" w:cs="Calibri" w:eastAsia="Calibri" w:hAnsi="Calibri"/>
          <w:color w:val="1F2937"/>
          <w:sz w:val="22"/>
          <w:szCs w:val="22"/>
        </w:rPr>
        <w:t xml:space="preserve">CJUE C-474/24 — Publication nominative : si un ESSMS publie en ligne des décisions nominatives (sanctions disciplinaires internes, exclusions), le RGPD s'applique pleinement. Base légale à documenter, durée de publication à limiter, retrait automatique à prévoir.</w:t>
      </w:r>
    </w:p>
    <w:p>
      <w:r>
        <w:t xml:space="preserve"/>
      </w:r>
    </w:p>
    <w:p>
      <w:pPr>
        <w:pBdr>
          <w:bottom w:val="single" w:color="1B3A6B" w:sz="4"/>
        </w:pBdr>
        <w:spacing w:after="120" w:before="400"/>
      </w:pPr>
      <w:r>
        <w:rPr>
          <w:rFonts w:ascii="Calibri" w:cs="Calibri" w:eastAsia="Calibri" w:hAnsi="Calibri"/>
          <w:b/>
          <w:bCs/>
          <w:color w:val="1B3A6B"/>
          <w:sz w:val="28"/>
          <w:szCs w:val="28"/>
        </w:rPr>
        <w:t xml:space="preserve">⚠️ Impacts pour les ESSMS</w:t>
      </w:r>
    </w:p>
    <w:p>
      <w:pPr>
        <w:pStyle w:val="ListParagraph"/>
        <w:numPr>
          <w:ilvl w:val="0"/>
          <w:numId w:val="1"/>
        </w:numPr>
        <w:spacing w:after="80"/>
      </w:pPr>
      <w:r>
        <w:rPr>
          <w:rFonts w:ascii="Calibri" w:cs="Calibri" w:eastAsia="Calibri" w:hAnsi="Calibri"/>
          <w:color w:val="1F2937"/>
          <w:sz w:val="22"/>
          <w:szCs w:val="22"/>
        </w:rPr>
        <w:t xml:space="preserve">Bannières cookies / site web de l'établissement : la décision EDPB (NOYB / VRT) rappelle que les bannières cookies doivent être conformes sur le fond — un rejet procédural ne protège pas contre une plainte ultérieure. Vérifier que le site de l'établissement n'utilise pas des cookies avant consentement.</w:t>
      </w:r>
    </w:p>
    <w:p>
      <w:pPr>
        <w:pStyle w:val="ListParagraph"/>
        <w:numPr>
          <w:ilvl w:val="0"/>
          <w:numId w:val="1"/>
        </w:numPr>
        <w:spacing w:after="80"/>
      </w:pPr>
      <w:r>
        <w:rPr>
          <w:rFonts w:ascii="Calibri" w:cs="Calibri" w:eastAsia="Calibri" w:hAnsi="Calibri"/>
          <w:color w:val="1F2937"/>
          <w:sz w:val="22"/>
          <w:szCs w:val="22"/>
        </w:rPr>
        <w:t xml:space="preserve">Données de santé art. 9 : la sanction AEPD (23andMe) et le webinaire CNIL confirment que les données de santé (et a fortiori génétiques) restent sous surveillance renforcée. DUI, entrepôts, partages avec prestataires HDS : vérifier bases légales, AIPD et hébergement conforme.</w:t>
      </w:r>
    </w:p>
    <w:p>
      <w:pPr>
        <w:pStyle w:val="ListParagraph"/>
        <w:numPr>
          <w:ilvl w:val="0"/>
          <w:numId w:val="1"/>
        </w:numPr>
        <w:spacing w:after="80"/>
      </w:pPr>
      <w:r>
        <w:rPr>
          <w:rFonts w:ascii="Calibri" w:cs="Calibri" w:eastAsia="Calibri" w:hAnsi="Calibri"/>
          <w:color w:val="1F2937"/>
          <w:sz w:val="22"/>
          <w:szCs w:val="22"/>
        </w:rPr>
        <w:t xml:space="preserve">Publications nominatives en ligne : arrêt CJUE C-474/24 — si l'établissement publie des décisions (sanctions disciplinaires, comptes-rendus de CVS/CVE nominatifs) en ligne, documenter la base légale, limiter les données, fixer une durée et prévoir un retrait.</w:t>
      </w:r>
    </w:p>
    <w:p>
      <w:pPr>
        <w:pStyle w:val="ListParagraph"/>
        <w:numPr>
          <w:ilvl w:val="0"/>
          <w:numId w:val="1"/>
        </w:numPr>
        <w:spacing w:after="80"/>
      </w:pPr>
      <w:r>
        <w:rPr>
          <w:rFonts w:ascii="Calibri" w:cs="Calibri" w:eastAsia="Calibri" w:hAnsi="Calibri"/>
          <w:color w:val="1F2937"/>
          <w:sz w:val="22"/>
          <w:szCs w:val="22"/>
        </w:rPr>
        <w:t xml:space="preserve">Partage d'informations entre régulateurs (EDPB 17/07) : à terme, les autorités de protection des données et les autorités de santé/ARS pourront partager des informations. Cohérence à assurer entre registre RGPD et dossiers ARS / évaluation HAS.</w:t>
      </w:r>
    </w:p>
    <w:p>
      <w:pPr>
        <w:pStyle w:val="ListParagraph"/>
        <w:numPr>
          <w:ilvl w:val="0"/>
          <w:numId w:val="1"/>
        </w:numPr>
        <w:spacing w:after="80"/>
      </w:pPr>
      <w:r>
        <w:rPr>
          <w:rFonts w:ascii="Calibri" w:cs="Calibri" w:eastAsia="Calibri" w:hAnsi="Calibri"/>
          <w:color w:val="1F2937"/>
          <w:sz w:val="22"/>
          <w:szCs w:val="22"/>
        </w:rPr>
        <w:t xml:space="preserve">Téléservice CNIL santé (10/07) : mettre à jour les procédures internes de déclaration si l'établissement réalise des traitements de données de santé soumis à autorisation.</w:t>
      </w:r>
    </w:p>
    <w:p>
      <w:r>
        <w:t xml:space="preserve"/>
      </w:r>
    </w:p>
    <w:p>
      <w:pPr>
        <w:pBdr>
          <w:bottom w:val="single" w:color="1B3A6B" w:sz="4"/>
        </w:pBdr>
        <w:spacing w:after="120" w:before="400"/>
      </w:pPr>
      <w:r>
        <w:rPr>
          <w:rFonts w:ascii="Calibri" w:cs="Calibri" w:eastAsia="Calibri" w:hAnsi="Calibri"/>
          <w:b/>
          <w:bCs/>
          <w:color w:val="1B3A6B"/>
          <w:sz w:val="28"/>
          <w:szCs w:val="28"/>
        </w:rPr>
        <w:t xml:space="preserve">📚 Sources du jour</w:t>
      </w:r>
    </w:p>
    <w:p>
      <w:pPr>
        <w:spacing w:after="80"/>
      </w:pPr>
      <w:hyperlink w:history="1" r:id="rIdildmwqiwo0mj3r8ndeyuh">
        <w:r>
          <w:rPr>
            <w:rFonts w:ascii="Calibri" w:cs="Calibri" w:eastAsia="Calibri" w:hAnsi="Calibri"/>
            <w:color w:val="1155CC"/>
            <w:sz w:val="22"/>
            <w:szCs w:val="22"/>
            <w:u w:val="single"/>
          </w:rPr>
          <w:t xml:space="preserve">✅ CNIL — Actualités (10/07/2026 — webinaire téléservice santé &amp; recherche)</w:t>
        </w:r>
      </w:hyperlink>
    </w:p>
    <w:p>
      <w:pPr>
        <w:spacing w:after="80"/>
      </w:pPr>
      <w:hyperlink w:history="1" r:id="rIdmgi7_tnotr6v-vyzhimkf">
        <w:r>
          <w:rPr>
            <w:rFonts w:ascii="Calibri" w:cs="Calibri" w:eastAsia="Calibri" w:hAnsi="Calibri"/>
            <w:color w:val="1155CC"/>
            <w:sz w:val="22"/>
            <w:szCs w:val="22"/>
            <w:u w:val="single"/>
          </w:rPr>
          <w:t xml:space="preserve">✅ CNIL — Secteur santé (webinaire téléservice)</w:t>
        </w:r>
      </w:hyperlink>
    </w:p>
    <w:p>
      <w:pPr>
        <w:spacing w:after="80"/>
      </w:pPr>
      <w:hyperlink w:history="1" r:id="rId0eom2nc0i8rulktfc9gxn">
        <w:r>
          <w:rPr>
            <w:rFonts w:ascii="Calibri" w:cs="Calibri" w:eastAsia="Calibri" w:hAnsi="Calibri"/>
            <w:color w:val="1155CC"/>
            <w:sz w:val="22"/>
            <w:szCs w:val="22"/>
            <w:u w:val="single"/>
          </w:rPr>
          <w:t xml:space="preserve">✅ EDPB — News (14/07 &amp; 17/07/2026)</w:t>
        </w:r>
      </w:hyperlink>
    </w:p>
    <w:p>
      <w:pPr>
        <w:spacing w:after="80"/>
      </w:pPr>
      <w:r>
        <w:rPr>
          <w:rFonts w:ascii="Calibri" w:cs="Calibri" w:eastAsia="Calibri" w:hAnsi="Calibri"/>
          <w:color w:val="1F2937"/>
          <w:sz w:val="22"/>
          <w:szCs w:val="22"/>
        </w:rPr>
        <w:t xml:space="preserve">⛔ EDPS — Actualités (HTTP 403 — inaccessible en mode headless)</w:t>
      </w:r>
    </w:p>
    <w:p>
      <w:pPr>
        <w:spacing w:after="80"/>
      </w:pPr>
      <w:hyperlink w:history="1" r:id="rIdld7q5vlfrjnh6tazdw9jb">
        <w:r>
          <w:rPr>
            <w:rFonts w:ascii="Calibri" w:cs="Calibri" w:eastAsia="Calibri" w:hAnsi="Calibri"/>
            <w:color w:val="1155CC"/>
            <w:sz w:val="22"/>
            <w:szCs w:val="22"/>
            <w:u w:val="single"/>
          </w:rPr>
          <w:t xml:space="preserve">✅ donneespersonnelles.fr — Actualité RGPD 2026 (CJUE C-474/24 du 18/07, AEPD/23andMe du 16/07)</w:t>
        </w:r>
      </w:hyperlink>
    </w:p>
    <w:p>
      <w:pPr>
        <w:spacing w:after="80"/>
      </w:pPr>
      <w:hyperlink w:history="1" r:id="rIdd-4l55fos9urvjrud0kyn">
        <w:r>
          <w:rPr>
            <w:rFonts w:ascii="Calibri" w:cs="Calibri" w:eastAsia="Calibri" w:hAnsi="Calibri"/>
            <w:color w:val="1155CC"/>
            <w:sz w:val="22"/>
            <w:szCs w:val="22"/>
            <w:u w:val="single"/>
          </w:rPr>
          <w:t xml:space="preserve">✅ Village-Justice — DPO augmenté &amp; pseudonymisation/anonymisation</w:t>
        </w:r>
      </w:hyperlink>
    </w:p>
    <w:p>
      <w:pPr>
        <w:spacing w:after="80"/>
      </w:pPr>
      <w:r>
        <w:rPr>
          <w:rFonts w:ascii="Calibri" w:cs="Calibri" w:eastAsia="Calibri" w:hAnsi="Calibri"/>
          <w:color w:val="1F2937"/>
          <w:sz w:val="22"/>
          <w:szCs w:val="22"/>
        </w:rPr>
        <w:t xml:space="preserve">✅ WebSearch — CNIL sanctions juillet 2026 + RGPD actualité jurisprudence juillet 2026</w:t>
      </w:r>
    </w:p>
    <w:p>
      <w:r>
        <w:t xml:space="preserve"/>
      </w:r>
    </w:p>
    <w:p>
      <w:pPr>
        <w:pBdr>
          <w:bottom w:val="single" w:color="1B3A6B" w:sz="4"/>
        </w:pBdr>
        <w:spacing w:after="120" w:before="40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80"/>
      </w:pPr>
      <w:r>
        <w:rPr>
          <w:rFonts w:ascii="Calibri" w:cs="Calibri" w:eastAsia="Calibri" w:hAnsi="Calibri"/>
          <w:color w:val="1F2937"/>
          <w:sz w:val="22"/>
          <w:szCs w:val="22"/>
        </w:rPr>
        <w:t xml:space="preserve">Consultation publique EDPB (anonymisation &amp; web scraping IA générative) : contributions ouvertes jusqu'au 30 octobre 2026.</w:t>
      </w:r>
    </w:p>
    <w:p>
      <w:pPr>
        <w:pStyle w:val="ListParagraph"/>
        <w:numPr>
          <w:ilvl w:val="0"/>
          <w:numId w:val="1"/>
        </w:numPr>
        <w:spacing w:after="80"/>
      </w:pPr>
      <w:r>
        <w:rPr>
          <w:rFonts w:ascii="Calibri" w:cs="Calibri" w:eastAsia="Calibri" w:hAnsi="Calibri"/>
          <w:color w:val="1F2937"/>
          <w:sz w:val="22"/>
          <w:szCs w:val="22"/>
        </w:rPr>
        <w:t xml:space="preserve">Publication CNIL du document consolidé sur le dossier patient informatisé (DPI), attendue en 2026 — impact direct ESSMS (DUI).</w:t>
      </w:r>
    </w:p>
    <w:p>
      <w:pPr>
        <w:pStyle w:val="ListParagraph"/>
        <w:numPr>
          <w:ilvl w:val="0"/>
          <w:numId w:val="1"/>
        </w:numPr>
        <w:spacing w:after="80"/>
      </w:pPr>
      <w:r>
        <w:rPr>
          <w:rFonts w:ascii="Calibri" w:cs="Calibri" w:eastAsia="Calibri" w:hAnsi="Calibri"/>
          <w:color w:val="1F2937"/>
          <w:sz w:val="22"/>
          <w:szCs w:val="22"/>
        </w:rPr>
        <w:t xml:space="preserve">Suite du dossier NOYB : nouvelle décision de l'APD belge sur le fond de la plainte contre VRT (bannières cookies).</w:t>
      </w:r>
    </w:p>
    <w:p>
      <w:pPr>
        <w:pStyle w:val="ListParagraph"/>
        <w:numPr>
          <w:ilvl w:val="0"/>
          <w:numId w:val="1"/>
        </w:numPr>
        <w:spacing w:after="80"/>
      </w:pPr>
      <w:r>
        <w:rPr>
          <w:rFonts w:ascii="Calibri" w:cs="Calibri" w:eastAsia="Calibri" w:hAnsi="Calibri"/>
          <w:color w:val="1F2937"/>
          <w:sz w:val="22"/>
          <w:szCs w:val="22"/>
        </w:rPr>
        <w:t xml:space="preserve">Évolutions législatives sur le partage transsectoriel d'informations entre régulateurs (EDPB → Commission européenne).</w:t>
      </w:r>
    </w:p>
    <w:p>
      <w:pPr>
        <w:pStyle w:val="ListParagraph"/>
        <w:numPr>
          <w:ilvl w:val="0"/>
          <w:numId w:val="1"/>
        </w:numPr>
        <w:spacing w:after="80"/>
      </w:pPr>
      <w:r>
        <w:rPr>
          <w:rFonts w:ascii="Calibri" w:cs="Calibri" w:eastAsia="Calibri" w:hAnsi="Calibri"/>
          <w:color w:val="1F2937"/>
          <w:sz w:val="22"/>
          <w:szCs w:val="22"/>
        </w:rPr>
        <w:t xml:space="preserve">Éventuelles nouvelles sanctions CNIL (procédure simplifiée ou formation restreinte).</w:t>
      </w:r>
    </w:p>
    <w:p>
      <w:r>
        <w:t xml:space="preserve"/>
      </w:r>
    </w:p>
    <w:p>
      <w:pPr>
        <w:spacing w:before="400"/>
        <w:jc w:val="center"/>
      </w:pPr>
      <w:r>
        <w:rPr>
          <w:rFonts w:ascii="Calibri" w:cs="Calibri" w:eastAsia="Calibri" w:hAnsi="Calibri"/>
          <w:i/>
          <w:iCs/>
          <w:color w:val="6B7280"/>
          <w:sz w:val="18"/>
          <w:szCs w:val="18"/>
        </w:rPr>
        <w:t xml:space="preserve">Compte-rendu produit automatiquement le 19 juillet 2026 — Job rgpd-veille (Claude Code, mode headless). 6 sources exploitées sur 7. Niveau d'alerte : 🟡 À surveiller.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bktljdf6ax7pjdne5pn8" Type="http://schemas.openxmlformats.org/officeDocument/2006/relationships/hyperlink" Target="https://www.donneespersonnelles.fr/actualite-rgpd-2026#2026-07-18-cjue-c474-24-publication-nominative-sanctions" TargetMode="External"/><Relationship Id="rIdkycbw-s3h_c5enbylip2h" Type="http://schemas.openxmlformats.org/officeDocument/2006/relationships/hyperlink" Target="https://edpb.europa.eu/news/edpb-requires-belgian-dpa-to-handle-the-merits-of-noyb-cookie-banner-complaint_en" TargetMode="External"/><Relationship Id="rId6j7l7hwxaizis0ix8ywrs" Type="http://schemas.openxmlformats.org/officeDocument/2006/relationships/hyperlink" Target="https://www.donneespersonnelles.fr/actualite-rgpd-2026#2026-07-16-aepd-sanction-23andme-fuite-donnees-genetiques" TargetMode="External"/><Relationship Id="rIdtoiujgshblnseqihsptwu" Type="http://schemas.openxmlformats.org/officeDocument/2006/relationships/hyperlink" Target="https://edpb.europa.eu/news/edpb-calls-for-legal-basis-for-cross-regulatory-information-sharing_en" TargetMode="External"/><Relationship Id="rId8eh6yxeqz1zhdjfmm8jsr" Type="http://schemas.openxmlformats.org/officeDocument/2006/relationships/hyperlink" Target="https://www.cnil.fr/fr/revoir-le-webinaire-nouveau-teleservice-sante-et-recherche-ce-qui-change-pour-vos-demandes" TargetMode="External"/><Relationship Id="rIdildmwqiwo0mj3r8ndeyuh" Type="http://schemas.openxmlformats.org/officeDocument/2006/relationships/hyperlink" Target="https://www.cnil.fr/fr/actualites" TargetMode="External"/><Relationship Id="rIdmgi7_tnotr6v-vyzhimkf" Type="http://schemas.openxmlformats.org/officeDocument/2006/relationships/hyperlink" Target="https://www.cnil.fr/fr/sante" TargetMode="External"/><Relationship Id="rId0eom2nc0i8rulktfc9gxn" Type="http://schemas.openxmlformats.org/officeDocument/2006/relationships/hyperlink" Target="https://www.edpb.europa.eu/news/news_en" TargetMode="External"/><Relationship Id="rIdld7q5vlfrjnh6tazdw9jb" Type="http://schemas.openxmlformats.org/officeDocument/2006/relationships/hyperlink" Target="https://www.donneespersonnelles.fr/actualite-rgpd-2026" TargetMode="External"/><Relationship Id="rIdd-4l55fos9urvjrud0kyn" Type="http://schemas.openxmlformats.org/officeDocument/2006/relationships/hyperlink" Target="https://www.village-justice.com/article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Code — Job rgpd-veille</dc:creator>
  <dc:description>Veille RGPD hebdomadaire — ESSMS</dc:description>
  <cp:lastModifiedBy>Un-named</cp:lastModifiedBy>
  <cp:revision>1</cp:revision>
  <dcterms:created xsi:type="dcterms:W3CDTF">2026-07-19T05:36:45.355Z</dcterms:created>
  <dcterms:modified xsi:type="dcterms:W3CDTF">2026-07-19T05:36:45.357Z</dcterms:modified>
</cp:coreProperties>
</file>

<file path=docProps/custom.xml><?xml version="1.0" encoding="utf-8"?>
<Properties xmlns="http://schemas.openxmlformats.org/officeDocument/2006/custom-properties" xmlns:vt="http://schemas.openxmlformats.org/officeDocument/2006/docPropsVTypes"/>
</file>