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Stoïcisme n°17 — Stoïcisme et christianisme : emprunts, divergences, postérité</w:t>
      </w:r>
    </w:p>
    <w:p>
      <w:pPr>
        <w:spacing w:after="80"/>
        <w:jc w:val="center"/>
      </w:pPr>
      <w:r>
        <w:rPr>
          <w:rFonts w:ascii="Times New Roman" w:cs="Times New Roman" w:eastAsia="Times New Roman" w:hAnsi="Times New Roman"/>
          <w:i/>
          <w:iCs/>
          <w:color w:val="1F2937"/>
          <w:sz w:val="22"/>
          <w:szCs w:val="22"/>
        </w:rPr>
        <w:t xml:space="preserve">1er octobre 2026  ·  Leçon 17 / 20</w:t>
      </w:r>
    </w:p>
    <w:p>
      <w:pPr>
        <w:spacing w:after="100"/>
      </w:pPr>
      <w:r>
        <w:t xml:space="preserve"/>
      </w:r>
    </w:p>
    <w:p>
      <w:pPr>
        <w:pStyle w:val="Heading2"/>
        <w:spacing w:after="120" w:before="28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la fin de cette leçon, tu sauras identifier les cinq principaux emprunts du christianisme au stoïcisme, articuler les cinq divergences irréductibles entre les deux traditions, et situer le néo-stoïcisme (XVIe s.) comme moment de synthèse consciente. Tu seras capable d'expliquer pourquoi le logos stoïcien a fasciné les premiers chrétiens tout en restant philosophiquement irréconciliable avec le Dieu personnel du christianisme.</w:t>
      </w:r>
    </w:p>
    <w:p>
      <w:pPr>
        <w:spacing w:after="120"/>
      </w:pPr>
      <w:r>
        <w:rPr>
          <w:rFonts w:ascii="Times New Roman" w:cs="Times New Roman" w:eastAsia="Times New Roman" w:hAnsi="Times New Roman"/>
          <w:b/>
          <w:bCs/>
          <w:i w:val="false"/>
          <w:iCs w:val="false"/>
          <w:color w:val="1F2937"/>
          <w:sz w:val="22"/>
          <w:szCs w:val="22"/>
        </w:rPr>
        <w:t xml:space="preserve">Continuité : </w:t>
      </w:r>
      <w:r>
        <w:rPr>
          <w:rFonts w:ascii="Times New Roman" w:cs="Times New Roman" w:eastAsia="Times New Roman" w:hAnsi="Times New Roman"/>
          <w:b w:val="false"/>
          <w:bCs w:val="false"/>
          <w:i w:val="false"/>
          <w:iCs w:val="false"/>
          <w:color w:val="1F2937"/>
          <w:sz w:val="22"/>
          <w:szCs w:val="22"/>
        </w:rPr>
        <w:t xml:space="preserve">La leçon 16 a exploré les exercices spirituels chez Pierre Hadot, qui montre comment la pratique stoïcienne a irrigué la spiritualité occidentale, chrétienne comprise. Cette leçon prolonge ce fil : au lieu de regarder la pratique, nous regardons la doctrine — et les lieux où le dialogue s'est noué, puis rompu.</w:t>
      </w:r>
    </w:p>
    <w:p>
      <w:pPr>
        <w:spacing w:after="100"/>
      </w:pPr>
      <w:r>
        <w:t xml:space="preserve"/>
      </w:r>
    </w:p>
    <w:p>
      <w:pPr>
        <w:pStyle w:val="Heading2"/>
        <w:spacing w:after="120" w:before="280"/>
      </w:pPr>
      <w:r>
        <w:rPr>
          <w:rFonts w:ascii="Times New Roman" w:cs="Times New Roman" w:eastAsia="Times New Roman" w:hAnsi="Times New Roman"/>
          <w:b/>
          <w:bCs/>
          <w:color w:val="1B3A6B"/>
          <w:sz w:val="30"/>
          <w:szCs w:val="30"/>
        </w:rPr>
        <w:t xml:space="preserve">🔬 Théorie (20 %)</w:t>
      </w:r>
    </w:p>
    <w:p>
      <w:pPr>
        <w:pStyle w:val="Heading3"/>
        <w:spacing w:after="80" w:before="180"/>
      </w:pPr>
      <w:r>
        <w:rPr>
          <w:rFonts w:ascii="Times New Roman" w:cs="Times New Roman" w:eastAsia="Times New Roman" w:hAnsi="Times New Roman"/>
          <w:b/>
          <w:bCs/>
          <w:color w:val="1F2937"/>
          <w:sz w:val="26"/>
          <w:szCs w:val="26"/>
        </w:rPr>
        <w:t xml:space="preserve">1. Deux mondes contemporains</w:t>
      </w:r>
    </w:p>
    <w:p>
      <w:pPr>
        <w:spacing w:after="120"/>
      </w:pPr>
      <w:r>
        <w:rPr>
          <w:rFonts w:ascii="Times New Roman" w:cs="Times New Roman" w:eastAsia="Times New Roman" w:hAnsi="Times New Roman"/>
          <w:b w:val="false"/>
          <w:bCs w:val="false"/>
          <w:i w:val="false"/>
          <w:iCs w:val="false"/>
          <w:color w:val="1F2937"/>
          <w:sz w:val="22"/>
          <w:szCs w:val="22"/>
        </w:rPr>
        <w:t xml:space="preserve">Le stoïcisme impérial et le christianisme primitif sont contemporains : Sénèque meurt en 65 apr. J.-C., Paul de Tarse circule dans le monde romain au même moment. Les deux traditions naissent dans le même bain culturel hellénistique, s'adressent aux mêmes classes urbaines, et proposent toutes deux une philosophie de vie face à la souffrance, à la mort et à l'injustice. Une correspondance apocryphe entre Paul et Sénèque circule dès l'Antiquité — mentionnée par Jérôme et Augustin — ; son inauthenticité n'empêche pas qu'elle témoigne de la conviction, partagée très tôt, que les deux hommes avaient beaucoup à se dire (d'après Durand, Shogry et Baltzly, Stanford Encyclopedia of Philosophy, « Stoicism », 2023).</w:t>
      </w:r>
    </w:p>
    <w:p>
      <w:pPr>
        <w:spacing w:after="100"/>
      </w:pPr>
      <w:r>
        <w:t xml:space="preserve"/>
      </w:r>
    </w:p>
    <w:p>
      <w:pPr>
        <w:pStyle w:val="Heading3"/>
        <w:spacing w:after="80" w:before="180"/>
      </w:pPr>
      <w:r>
        <w:rPr>
          <w:rFonts w:ascii="Times New Roman" w:cs="Times New Roman" w:eastAsia="Times New Roman" w:hAnsi="Times New Roman"/>
          <w:b/>
          <w:bCs/>
          <w:color w:val="1F2937"/>
          <w:sz w:val="26"/>
          <w:szCs w:val="26"/>
        </w:rPr>
        <w:t xml:space="preserve">2. Les cinq emprunts majeurs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 Logos : le concept stoïcien de raison universelle qui gouverne le cosmos est repris dans le prologue de l'Évangile de Jean (Jean 1:1), où l'auteur identifie d'emblée le Verbe (Logos) à Dieu et au principe de toute création. C'est le point de contact le plus important. Justin Martyr (IIe s.) reconnaîtra explicitement la filiation stoïcienne tout en affirmant que le Logos s'est pleinement incarné dans le Christ.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 droit naturel : selon Durand, Shogry et Baltzly (SEP), la tradition des théories du droit naturel en éthique semble découler directement du stoïcisme. La chaîne va du kathêkon et de l'oikeiôsis stoïciens à Cicéron, puis à Thomas d'Aquin (Summa Theologica II, 2, q. 94) et aux juristes modernes ; Grotius est nommé par Cochran (SAET) parmi les philosophes modernes nourris de pensée stoïcienne, avec Shaftesbury, Rousseau, Kant et Adam Smith.</w:t>
      </w:r>
      <w:r>
        <w:rPr>
          <w:rFonts w:ascii="Times New Roman" w:cs="Times New Roman" w:eastAsia="Times New Roman" w:hAnsi="Times New Roman"/>
          <w:i/>
          <w:iCs/>
          <w:color w:val="6B7280"/>
          <w:sz w:val="20"/>
          <w:szCs w:val="20"/>
        </w:rPr>
        <w:t xml:space="preserve"> [Corrigé le 01/10/2026 : Grotius ne figure pas sur la page de la SEP, à laquelle la phrase est prêtée. Il est chez Cochran (SAET). Coquille « découlter » corrigée en « découler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La fraternité universelle : l'oikeiôsis stoïcienne (sentiment naturel d'appartenance à l'humanité) résonne avec le concept chrétien d'imago Dei — chaque être humain porte l'image divine, base de sa dignité absolue.</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La Providence : la pronoia stoïcienne (raison divine guidant le cosmos) est réinterprétée en providence chrétienne personnelle — non plus une loi immanente, mais un Dieu qui veille sur chaque individu.</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L'Enchiridion adapté : selon Massimo Pigliucci (IEP), des versions de l'Enchiridion d'Épictète étaient couramment utilisées dans les monastères, Paul y prenant la place de Socrate comme figure exemplaire. Là où le texte passait, le système théologique sous-jacent, lui, ne passait pas toujours.</w:t>
      </w:r>
      <w:r>
        <w:rPr>
          <w:rFonts w:ascii="Times New Roman" w:cs="Times New Roman" w:eastAsia="Times New Roman" w:hAnsi="Times New Roman"/>
          <w:i/>
          <w:iCs/>
          <w:color w:val="6B7280"/>
          <w:sz w:val="20"/>
          <w:szCs w:val="20"/>
        </w:rPr>
        <w:t xml:space="preserve"> [Corrigé le 01/10/2026 : attribué à Samuli Siikavirta, dont la page ne contient pas le mot « Enchiridion ». Le fait est chez Pigliucci (IEP) — « versions of the Enchiridion were commonly used (with Paul replacing Socrates) in monasteries » : couramment utilisées, et non « à trois reprises » ; la substitution documentée est Paul pour Socrate, non Zeus pour Dieu.]</w:t>
      </w:r>
    </w:p>
    <w:p>
      <w:pPr>
        <w:spacing w:after="100"/>
      </w:pPr>
      <w:r>
        <w:t xml:space="preserve"/>
      </w:r>
    </w:p>
    <w:p>
      <w:pPr>
        <w:pStyle w:val="Heading3"/>
        <w:spacing w:after="80" w:before="180"/>
      </w:pPr>
      <w:r>
        <w:rPr>
          <w:rFonts w:ascii="Times New Roman" w:cs="Times New Roman" w:eastAsia="Times New Roman" w:hAnsi="Times New Roman"/>
          <w:b/>
          <w:bCs/>
          <w:color w:val="1F2937"/>
          <w:sz w:val="26"/>
          <w:szCs w:val="26"/>
        </w:rPr>
        <w:t xml:space="preserve">3. Les Pères de l'Église et le stoïcisme</w:t>
      </w:r>
    </w:p>
    <w:p>
      <w:pPr>
        <w:spacing w:after="120"/>
      </w:pPr>
      <w:r>
        <w:rPr>
          <w:rFonts w:ascii="Times New Roman" w:cs="Times New Roman" w:eastAsia="Times New Roman" w:hAnsi="Times New Roman"/>
          <w:b w:val="false"/>
          <w:bCs w:val="false"/>
          <w:i w:val="false"/>
          <w:iCs w:val="false"/>
          <w:color w:val="1F2937"/>
          <w:sz w:val="22"/>
          <w:szCs w:val="22"/>
        </w:rPr>
        <w:t xml:space="preserve">Plusieurs Pères de l'Église entretiennent un rapport positif au stoïcisme. Wikipedia relève une influence stoïcienne chez Ambroise de Milan, Marcus Minucius Felix et Tertullien ; Cochran (SAET) nomme Grégoire de Nysse, Ambroise, Jérôme, Clément d'Alexandrie et Augustin parmi les auteurs chrétiens sur lesquels Lipsius s'appuiera au XVIe siècle :</w:t>
      </w:r>
      <w:r>
        <w:rPr>
          <w:rFonts w:ascii="Times New Roman" w:cs="Times New Roman" w:eastAsia="Times New Roman" w:hAnsi="Times New Roman"/>
          <w:i/>
          <w:iCs/>
          <w:color w:val="6B7280"/>
          <w:sz w:val="20"/>
          <w:szCs w:val="20"/>
        </w:rPr>
        <w:t xml:space="preserve"> [Ajouté le 01/10/2026 : la section ne nommait aucune source alors qu'elle avançait quatre références précises.]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Tertullien (160-220) : Pigliucci (IEP) écrit qu'il était positivement disposé envers le stoïcisme. La SEP ajoute le contrepoint : c'est chez lui que se trouve l'anthropologie matérialiste dont l'orthodoxie chrétienne ancienne s'est ensuite éloignée, vers la conception immatérielle de l'âme qui va aujourd'hui de soi.</w:t>
      </w:r>
      <w:r>
        <w:rPr>
          <w:rFonts w:ascii="Times New Roman" w:cs="Times New Roman" w:eastAsia="Times New Roman" w:hAnsi="Times New Roman"/>
          <w:i/>
          <w:iCs/>
          <w:color w:val="6B7280"/>
          <w:sz w:val="20"/>
          <w:szCs w:val="20"/>
        </w:rPr>
        <w:t xml:space="preserve"> [Corrigé le 01/10/2026 : « proche de la vérité chrétienne (De Anima, 20.1) » — ni « De Anima » ni « 20.1 » ne figurent sur aucune des sept pages liées.]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Clément d'Alexandrie (150-215) : voit dans la raison stoïcienne une préparation évangélique — le logos philosophique annonçant le Logos incarné.</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Ambroise de Milan (340-397) : Wikipedia relève une influence stoïcienne dans ses œuvres, et Cochran (SAET) le compte parmi les auteurs chrétiens que Lipsius relira. La relation de modèle que la SEP documente est ailleurs : c'est Cicéron qui calque son De Officiis sur le traité de Panétius.</w:t>
      </w:r>
      <w:r>
        <w:rPr>
          <w:rFonts w:ascii="Times New Roman" w:cs="Times New Roman" w:eastAsia="Times New Roman" w:hAnsi="Times New Roman"/>
          <w:i/>
          <w:iCs/>
          <w:color w:val="6B7280"/>
          <w:sz w:val="20"/>
          <w:szCs w:val="20"/>
        </w:rPr>
        <w:t xml:space="preserve"> [Corrigé le 01/10/2026 : « rédige le De Officiis Ministrorum directement calqué sur le De Officiis de Cicéron » est introuvable sur les pages liées ; la SEP documente le modelage de Cicéron sur Panétius, pas celui d'Ambroise sur Cicéron.]</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Augustin (354-430) : position nuancée. Pigliucci (IEP) note qu'il écrit d'abord favorablement sur le stoïcisme, puis s'en montre plus critique. La SEP précise sur quoi il suit les stoïciens plutôt que les platoniciens, ses alliés habituels : l'appartenance des animaux à la communauté morale (La Cité de Dieu, 1.20) et sa philosophie du langage. Le matérialisme stoïcien, lui, est rejeté par l'orthodoxie dans son ensemble, et la prétention à l'autosuffisance de la raison se heurte à la doctrine de la grâce.</w:t>
      </w:r>
      <w:r>
        <w:rPr>
          <w:rFonts w:ascii="Times New Roman" w:cs="Times New Roman" w:eastAsia="Times New Roman" w:hAnsi="Times New Roman"/>
          <w:i/>
          <w:iCs/>
          <w:color w:val="6B7280"/>
          <w:sz w:val="20"/>
          <w:szCs w:val="20"/>
        </w:rPr>
        <w:t xml:space="preserve"> [Corrigé le 01/10/2026 : le droit naturel ne figure pas dans la liste de la SEP, qui s'en tient aux animaux et à la philosophie du langage ; et Épître 153.4 y est la référence où Augustin MENTIONNE la correspondance apocryphe — la même référence servait deux fois dans la leçon, juste la première fois.]</w:t>
      </w:r>
    </w:p>
    <w:p>
      <w:pPr>
        <w:spacing w:after="100"/>
      </w:pPr>
      <w:r>
        <w:t xml:space="preserve"/>
      </w:r>
    </w:p>
    <w:p>
      <w:pPr>
        <w:pStyle w:val="Heading3"/>
        <w:spacing w:after="80" w:before="180"/>
      </w:pPr>
      <w:r>
        <w:rPr>
          <w:rFonts w:ascii="Times New Roman" w:cs="Times New Roman" w:eastAsia="Times New Roman" w:hAnsi="Times New Roman"/>
          <w:b/>
          <w:bCs/>
          <w:color w:val="1F2937"/>
          <w:sz w:val="26"/>
          <w:szCs w:val="26"/>
        </w:rPr>
        <w:t xml:space="preserve">4. Les cinq divergences irréductibles</w:t>
      </w:r>
    </w:p>
    <w:p>
      <w:pPr>
        <w:spacing w:after="120"/>
      </w:pPr>
      <w:r>
        <w:rPr>
          <w:rFonts w:ascii="Times New Roman" w:cs="Times New Roman" w:eastAsia="Times New Roman" w:hAnsi="Times New Roman"/>
          <w:b w:val="false"/>
          <w:bCs w:val="false"/>
          <w:i w:val="false"/>
          <w:iCs w:val="false"/>
          <w:color w:val="1F2937"/>
          <w:sz w:val="22"/>
          <w:szCs w:val="22"/>
        </w:rPr>
        <w:t xml:space="preserve">Comme le souligne Massimo Pigliucci (IEP, « Stoicism ») : le christianisme était bien plus favorable au stoïcisme qu'à son grand rival, l'épicurisme. Mais cette proximité relative ne doit pas masquer les fractures profondes :</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Domaine</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Stoïcisme</w:t>
            </w:r>
          </w:p>
        </w:tc>
        <w:tc>
          <w:tcPr>
            <w:shd w:fill="1B3A6B"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Christianisme</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Nature de Dieu</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Panthéisme : Dieu = cosmos (logos immanent)</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Dieu transcendant, créateur distinct de sa création</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Condition humaine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La raison est suffisante pour la vertu</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L'homme est pécheur ; la grâce divine est nécessaire</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Les passions</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Apatheia : les passions sont des erreurs de jugement à extirper</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L'amour, le deuil, la compassion sont des vertus positives</w:t>
            </w:r>
          </w:p>
        </w:tc>
      </w:tr>
      <w:tr>
        <w:tc>
          <w:tcPr>
            <w:shd w:fill="FFFFFF"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Le suicide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Peut être l'acte du sage vertueux (Caton, Sénèque)</w:t>
            </w:r>
          </w:p>
        </w:tc>
        <w:tc>
          <w:tcPr>
            <w:shd w:fill="FFFFFF"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Interdit : la vie est don de Dieu</w:t>
            </w:r>
          </w:p>
        </w:tc>
      </w:tr>
      <w:tr>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Le destin</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Heimarmenê déterministe : tout suit le logos universel</w:t>
            </w:r>
          </w:p>
        </w:tc>
        <w:tc>
          <w:tcPr>
            <w:shd w:fill="EEF2F7" w:val="clear"/>
            <w:tcMar>
              <w:top w:type="dxa" w:w="60"/>
              <w:left w:type="dxa" w:w="100"/>
              <w:bottom w:type="dxa" w:w="60"/>
              <w:right w:type="dxa" w:w="100"/>
            </w:tcMar>
          </w:tcPr>
          <w:p>
            <w:r>
              <w:rPr>
                <w:rFonts w:ascii="Times New Roman" w:cs="Times New Roman" w:eastAsia="Times New Roman" w:hAnsi="Times New Roman"/>
                <w:color w:val="1F2937"/>
                <w:sz w:val="20"/>
                <w:szCs w:val="20"/>
              </w:rPr>
              <w:t xml:space="preserve">Providence aimante + libre arbitre humain</w:t>
            </w:r>
          </w:p>
        </w:tc>
      </w:tr>
    </w:tbl>
    <w:p>
      <w:pPr>
        <w:spacing w:after="100"/>
      </w:pPr>
      <w: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Ces cinq divergences ne sont pas des nuances : elles touchent à la structure même de chaque système. Daily Stoic, qui présente la comparaison pour un public large, le formule ainsi : on tient souvent les deux traditions pour opposées en tout, elles se recouvrent sur plusieurs points, et il subsiste pourtant entre elles plus de différences que de similitudes. Un stoïcien et un chrétien peuvent pratiquer ensemble la modération, le courage ou la justice — mais ils ne parleront pas du même Dieu, ne théoriseront pas la même faiblesse humaine, et ne s'accorderont pas sur la valeur des larmes.</w:t>
      </w:r>
      <w:r>
        <w:rPr>
          <w:rFonts w:ascii="Times New Roman" w:cs="Times New Roman" w:eastAsia="Times New Roman" w:hAnsi="Times New Roman"/>
          <w:i/>
          <w:iCs/>
          <w:color w:val="6B7280"/>
          <w:sz w:val="20"/>
          <w:szCs w:val="20"/>
        </w:rPr>
        <w:t xml:space="preserve"> [Ajouté le 01/10/2026 : Daily Stoic était listé en ressources sans que rien du corps n'en vienne.]</w:t>
      </w:r>
    </w:p>
    <w:p>
      <w:pPr>
        <w:spacing w:after="100"/>
      </w:pPr>
      <w:r>
        <w:t xml:space="preserve"/>
      </w:r>
    </w:p>
    <w:p>
      <w:pPr>
        <w:pStyle w:val="Heading3"/>
        <w:spacing w:after="80" w:before="180"/>
      </w:pPr>
      <w:r>
        <w:rPr>
          <w:rFonts w:ascii="Times New Roman" w:cs="Times New Roman" w:eastAsia="Times New Roman" w:hAnsi="Times New Roman"/>
          <w:b/>
          <w:bCs/>
          <w:color w:val="1F2937"/>
          <w:sz w:val="26"/>
          <w:szCs w:val="26"/>
        </w:rPr>
        <w:t xml:space="preserve">5. Le Néo-stoïcisme (XVIe-XVIIe siècle) : la synthèse revendiquée</w:t>
      </w:r>
    </w:p>
    <w:p>
      <w:pPr>
        <w:spacing w:after="120"/>
      </w:pPr>
      <w:r>
        <w:rPr>
          <w:rFonts w:ascii="Times New Roman" w:cs="Times New Roman" w:eastAsia="Times New Roman" w:hAnsi="Times New Roman"/>
          <w:b w:val="false"/>
          <w:bCs w:val="false"/>
          <w:i w:val="false"/>
          <w:iCs w:val="false"/>
          <w:color w:val="1F2937"/>
          <w:sz w:val="22"/>
          <w:szCs w:val="22"/>
        </w:rPr>
        <w:t xml:space="preserve">Justus Lipsius (1547-1606), humaniste flamand, est l'architecte du néo-stoïcisme. Son opus majeur, le De Constantia (1584), argumente que les chrétiens peuvent puiser dans les ressources stoïciennes en temps de troubles — notamment la patience, l'équanimité et la maîtrise des émotions — tout en identifiant explicitement les points d'incompatibilité doctrinale. Il publie également des éditions critiques de Sénèque et Tacite qui renouvellent l'accès aux textes.</w:t>
      </w:r>
    </w:p>
    <w:p>
      <w:pPr>
        <w:spacing w:after="120"/>
      </w:pPr>
      <w:r>
        <w:rPr>
          <w:rFonts w:ascii="Times New Roman" w:cs="Times New Roman" w:eastAsia="Times New Roman" w:hAnsi="Times New Roman"/>
          <w:b w:val="false"/>
          <w:bCs w:val="false"/>
          <w:i w:val="false"/>
          <w:iCs w:val="false"/>
          <w:color w:val="1F2937"/>
          <w:sz w:val="22"/>
          <w:szCs w:val="22"/>
        </w:rPr>
        <w:t xml:space="preserve">Ses contemporains néo-stoïciens : le juriste et homme d'État Guillaume Du Vair, le théologien Pierre Charron, l'écrivain espagnol Francisco de Quevedo, et surtout Michel de Montaigne, qui consacre un essai à la défense de Sénèque — selon Massimo Pigliucci (IEP).</w:t>
      </w:r>
    </w:p>
    <w:p>
      <w:pPr>
        <w:spacing w:after="120"/>
      </w:pPr>
      <w:r>
        <w:rPr>
          <w:rFonts w:ascii="Times New Roman" w:cs="Times New Roman" w:eastAsia="Times New Roman" w:hAnsi="Times New Roman"/>
          <w:b w:val="false"/>
          <w:bCs w:val="false"/>
          <w:i w:val="false"/>
          <w:iCs w:val="false"/>
          <w:color w:val="1F2937"/>
          <w:sz w:val="22"/>
          <w:szCs w:val="22"/>
        </w:rPr>
        <w:t xml:space="preserve">La postérité intellectuelle est considérable : selon Massimo Pigliucci (IEP), l'influence du stoïcisme sur Descartes, Spinoza, Leibniz et Kant est diffuse et largement méconnue de ceux qui en sont les héritiers ; Cochran (SAET) élargit la liste à Shaftesbury, Rousseau et Adam Smith. La notion kantienne de devoir (impératif catégorique) doit beaucoup au kathêkon stoïcien — même si Kant ne s'en réclame pas.</w:t>
      </w:r>
      <w:r>
        <w:rPr>
          <w:rFonts w:ascii="Times New Roman" w:cs="Times New Roman" w:eastAsia="Times New Roman" w:hAnsi="Times New Roman"/>
          <w:i/>
          <w:iCs/>
          <w:color w:val="6B7280"/>
          <w:sz w:val="20"/>
          <w:szCs w:val="20"/>
        </w:rPr>
        <w:t xml:space="preserve"> [Corrigé le 01/10/2026 : attribué à la SEP, qui ne nomme ni Descartes, ni Spinoza, ni Leibniz ; les quatre noms sont sur IEP.]</w:t>
      </w:r>
    </w:p>
    <w:p>
      <w:pPr>
        <w:spacing w:after="10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Pratique (80 %)</w:t>
      </w:r>
    </w:p>
    <w:p>
      <w:pPr>
        <w:pStyle w:val="Heading3"/>
        <w:spacing w:after="80" w:before="180"/>
      </w:pPr>
      <w:r>
        <w:rPr>
          <w:rFonts w:ascii="Times New Roman" w:cs="Times New Roman" w:eastAsia="Times New Roman" w:hAnsi="Times New Roman"/>
          <w:b/>
          <w:bCs/>
          <w:color w:val="1F2937"/>
          <w:sz w:val="26"/>
          <w:szCs w:val="26"/>
        </w:rPr>
        <w:t xml:space="preserve">Exercice 1 — Carte des emprunts et des rejets</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25 min.</w:t>
      </w:r>
    </w:p>
    <w:p>
      <w:pPr>
        <w:spacing w:after="120"/>
      </w:pPr>
      <w:r>
        <w:rPr>
          <w:rFonts w:ascii="Times New Roman" w:cs="Times New Roman" w:eastAsia="Times New Roman" w:hAnsi="Times New Roman"/>
          <w:b w:val="false"/>
          <w:bCs w:val="false"/>
          <w:i w:val="false"/>
          <w:iCs w:val="false"/>
          <w:color w:val="1F2937"/>
          <w:sz w:val="22"/>
          <w:szCs w:val="22"/>
        </w:rPr>
        <w:t xml:space="preserve">Construis un tableau à trois colonnes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Colonne 1 : Concept stoïcien (avec sa définition en une phrase)</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Colonne 2 : Ce que le christianisme en a retenu (à quelle condition, avec quels ajustements)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Colonne 3 : Ce que le christianisme en a rejeté (pour quelle raison doctrinale)</w:t>
      </w:r>
    </w:p>
    <w:p>
      <w:pPr>
        <w:spacing w:after="120"/>
      </w:pPr>
      <w:r>
        <w:rPr>
          <w:rFonts w:ascii="Times New Roman" w:cs="Times New Roman" w:eastAsia="Times New Roman" w:hAnsi="Times New Roman"/>
          <w:b w:val="false"/>
          <w:bCs w:val="false"/>
          <w:i w:val="false"/>
          <w:iCs w:val="false"/>
          <w:color w:val="1F2937"/>
          <w:sz w:val="22"/>
          <w:szCs w:val="22"/>
        </w:rPr>
        <w:t xml:space="preserve">Travaille sur au moins cinq concepts : Logos, droit naturel, apatheia, providence, oikeiôsis. Pour chacun, cite au moins un texte ou un auteur chrétien qui illustre l'emprunt ou le rejet. Appuie-toi sur les leçons 2 à 7 de ce parcours et sur les ressources ci-dessous.</w:t>
      </w:r>
    </w:p>
    <w:p>
      <w:pPr>
        <w:spacing w:after="100"/>
      </w:pPr>
      <w:r>
        <w:t xml:space="preserve"/>
      </w:r>
    </w:p>
    <w:p>
      <w:pPr>
        <w:pStyle w:val="Heading3"/>
        <w:spacing w:after="80" w:before="180"/>
      </w:pPr>
      <w:r>
        <w:rPr>
          <w:rFonts w:ascii="Times New Roman" w:cs="Times New Roman" w:eastAsia="Times New Roman" w:hAnsi="Times New Roman"/>
          <w:b/>
          <w:bCs/>
          <w:color w:val="1F2937"/>
          <w:sz w:val="26"/>
          <w:szCs w:val="26"/>
        </w:rPr>
        <w:t xml:space="preserve">Exercice 2 — Dialogue imaginaire Paul et Sénèque (journal stoïcien)</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35 min.</w:t>
      </w:r>
    </w:p>
    <w:p>
      <w:pPr>
        <w:spacing w:after="120"/>
      </w:pPr>
      <w:r>
        <w:rPr>
          <w:rFonts w:ascii="Times New Roman" w:cs="Times New Roman" w:eastAsia="Times New Roman" w:hAnsi="Times New Roman"/>
          <w:b w:val="false"/>
          <w:bCs w:val="false"/>
          <w:i w:val="false"/>
          <w:iCs w:val="false"/>
          <w:color w:val="1F2937"/>
          <w:sz w:val="22"/>
          <w:szCs w:val="22"/>
        </w:rPr>
        <w:t xml:space="preserve">Paul de Tarse et Sénèque sont contemporains (Paul à Rome vers 57-60 apr. J.-C., Sénèque précepteur de Néron jusqu'en 62). Une correspondance apocryphe entre eux circule depuis l'Antiquité — signe que leurs contemporains trouvaient la rencontre intellectuellement plausible.</w:t>
      </w:r>
    </w:p>
    <w:p>
      <w:pPr>
        <w:spacing w:after="120"/>
      </w:pPr>
      <w:r>
        <w:rPr>
          <w:rFonts w:ascii="Times New Roman" w:cs="Times New Roman" w:eastAsia="Times New Roman" w:hAnsi="Times New Roman"/>
          <w:b w:val="false"/>
          <w:bCs w:val="false"/>
          <w:i w:val="false"/>
          <w:iCs w:val="false"/>
          <w:color w:val="1F2937"/>
          <w:sz w:val="22"/>
          <w:szCs w:val="22"/>
        </w:rPr>
        <w:t xml:space="preserve">Écris un échange de deux lettres (une de chacun) autour de cette question : « Que faire des passions ?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Paul : s'appuie sur l'idée chrétienne que les passions peuvent être orientées vers Dieu (l'amour, la tristesse du péché, la joie spirituelle sont des vertus)</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Sénèque : défend l'apatheia stoïcienne — les passions ne sont pas à orienter mais à éradiquer, car elles sont des erreurs de jugement</w:t>
      </w:r>
    </w:p>
    <w:p>
      <w:pPr>
        <w:spacing w:after="120"/>
      </w:pPr>
      <w:r>
        <w:rPr>
          <w:rFonts w:ascii="Times New Roman" w:cs="Times New Roman" w:eastAsia="Times New Roman" w:hAnsi="Times New Roman"/>
          <w:b w:val="false"/>
          <w:bCs w:val="false"/>
          <w:i w:val="false"/>
          <w:iCs w:val="false"/>
          <w:color w:val="1F2937"/>
          <w:sz w:val="22"/>
          <w:szCs w:val="22"/>
        </w:rPr>
        <w:t xml:space="preserve">Consigne : reste fidèle à ce que tu sais de chacun (Sénèque via les leçons 6 et 7, Paul via sa propre culture hellénistique). Après l'échange, écris trois lignes : qui t'a semblé le plus convaincant, et pourquoi ?</w:t>
      </w:r>
    </w:p>
    <w:p>
      <w:pPr>
        <w:spacing w:after="100"/>
      </w:pPr>
      <w:r>
        <w:t xml:space="preserve"/>
      </w:r>
    </w:p>
    <w:p>
      <w:pPr>
        <w:pStyle w:val="Heading3"/>
        <w:spacing w:after="80" w:before="180"/>
      </w:pPr>
      <w:r>
        <w:rPr>
          <w:rFonts w:ascii="Times New Roman" w:cs="Times New Roman" w:eastAsia="Times New Roman" w:hAnsi="Times New Roman"/>
          <w:b/>
          <w:bCs/>
          <w:color w:val="1F2937"/>
          <w:sz w:val="26"/>
          <w:szCs w:val="26"/>
        </w:rPr>
        <w:t xml:space="preserve">Exercice 3 — Les divergences dans ma vie</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20 min.</w:t>
      </w:r>
    </w:p>
    <w:p>
      <w:pPr>
        <w:spacing w:after="120"/>
      </w:pPr>
      <w:r>
        <w:rPr>
          <w:rFonts w:ascii="Times New Roman" w:cs="Times New Roman" w:eastAsia="Times New Roman" w:hAnsi="Times New Roman"/>
          <w:b w:val="false"/>
          <w:bCs w:val="false"/>
          <w:i w:val="false"/>
          <w:iCs w:val="false"/>
          <w:color w:val="1F2937"/>
          <w:sz w:val="22"/>
          <w:szCs w:val="22"/>
        </w:rPr>
        <w:t xml:space="preserve">Pour chacune des cinq divergences du tableau ci-dessus, note une situation personnelle récente (ou un scénario plausible) où les deux approches auraient conduit à des attitudes différentes.</w:t>
      </w:r>
    </w:p>
    <w:p>
      <w:pPr>
        <w:spacing w:after="120"/>
      </w:pPr>
      <w:r>
        <w:rPr>
          <w:rFonts w:ascii="Times New Roman" w:cs="Times New Roman" w:eastAsia="Times New Roman" w:hAnsi="Times New Roman"/>
          <w:b w:val="false"/>
          <w:bCs w:val="false"/>
          <w:i w:val="false"/>
          <w:iCs w:val="false"/>
          <w:color w:val="1F2937"/>
          <w:sz w:val="22"/>
          <w:szCs w:val="22"/>
        </w:rPr>
        <w:t xml:space="preserve">Format : une ligne par divergence.</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Nature de Dieu : face à un événement qui m'échappe totalement, l'attitude stoïcienne est…  L'attitude chrétienne (ou celle d'une tradition qui pose un Dieu personnel) est…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Condition humaine : quand je commets une erreur grave, l'explication stoïcienne est…  l'explication chrétienne est…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Les passions : face au deuil d'un proche, la posture stoïcienne idéale est… La posture chrétienne est…</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 suicide : comment chaque tradition aborde-t-elle la souffrance insupportable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Le destin : comment lis-tu un enchaînement d'événements sur lequel tu n'as eu aucune prise ?</w:t>
      </w:r>
    </w:p>
    <w:p>
      <w:pPr>
        <w:spacing w:after="120"/>
      </w:pPr>
      <w:r>
        <w:rPr>
          <w:rFonts w:ascii="Times New Roman" w:cs="Times New Roman" w:eastAsia="Times New Roman" w:hAnsi="Times New Roman"/>
          <w:b w:val="false"/>
          <w:bCs w:val="false"/>
          <w:i w:val="false"/>
          <w:iCs w:val="false"/>
          <w:color w:val="1F2937"/>
          <w:sz w:val="22"/>
          <w:szCs w:val="22"/>
        </w:rPr>
        <w:t xml:space="preserve">Conclus par : quelle divergence te semble la plus pertinente pour ta pratique personnelle ? Pourquoi ?</w:t>
      </w:r>
    </w:p>
    <w:p>
      <w:pPr>
        <w:spacing w:after="100"/>
      </w:pPr>
      <w:r>
        <w:t xml:space="preserve"/>
      </w:r>
    </w:p>
    <w:p>
      <w:pPr>
        <w:pStyle w:val="Heading2"/>
        <w:spacing w:after="120" w:before="280"/>
      </w:pPr>
      <w:r>
        <w:rPr>
          <w:rFonts w:ascii="Times New Roman" w:cs="Times New Roman" w:eastAsia="Times New Roman" w:hAnsi="Times New Roman"/>
          <w:b/>
          <w:bCs/>
          <w:color w:val="1B3A6B"/>
          <w:sz w:val="30"/>
          <w:szCs w:val="30"/>
        </w:rPr>
        <w:t xml:space="preserve">🎯 Challenge — L'Enchiridion christianisé</w:t>
      </w:r>
    </w:p>
    <w:p>
      <w:pPr>
        <w:spacing w:after="120"/>
      </w:pPr>
      <w:r>
        <w:rPr>
          <w:rFonts w:ascii="Times New Roman" w:cs="Times New Roman" w:eastAsia="Times New Roman" w:hAnsi="Times New Roman"/>
          <w:b w:val="false"/>
          <w:bCs w:val="false"/>
          <w:i w:val="false"/>
          <w:iCs w:val="false"/>
          <w:color w:val="1F2937"/>
          <w:sz w:val="22"/>
          <w:szCs w:val="22"/>
        </w:rPr>
        <w:t xml:space="preserve">Durée estimée : 40 min.</w:t>
      </w:r>
    </w:p>
    <w:p>
      <w:pPr>
        <w:spacing w:after="120"/>
      </w:pPr>
      <w:r>
        <w:rPr>
          <w:rFonts w:ascii="Times New Roman" w:cs="Times New Roman" w:eastAsia="Times New Roman" w:hAnsi="Times New Roman"/>
          <w:b w:val="false"/>
          <w:bCs w:val="false"/>
          <w:i w:val="false"/>
          <w:iCs w:val="false"/>
          <w:color w:val="1F2937"/>
          <w:sz w:val="22"/>
          <w:szCs w:val="22"/>
        </w:rPr>
        <w:t xml:space="preserve">Des versions de l'Enchiridion d'Épictète étaient couramment utilisées dans les monastères, Paul y remplaçant Socrate comme figure exemplaire (Pigliucci, IEP). L'exercice de cette substitution est lui-même instructif.</w:t>
      </w:r>
      <w:r>
        <w:rPr>
          <w:rFonts w:ascii="Times New Roman" w:cs="Times New Roman" w:eastAsia="Times New Roman" w:hAnsi="Times New Roman"/>
          <w:i/>
          <w:iCs/>
          <w:color w:val="6B7280"/>
          <w:sz w:val="20"/>
          <w:szCs w:val="20"/>
        </w:rPr>
        <w:t xml:space="preserve"> [Corrigé le 01/10/2026 : « à trois reprises » n'est avancé par aucune des sources de la leçon.]</w:t>
      </w:r>
    </w:p>
    <w:p>
      <w:pPr>
        <w:spacing w:after="120"/>
      </w:pPr>
      <w:r>
        <w:rPr>
          <w:rFonts w:ascii="Times New Roman" w:cs="Times New Roman" w:eastAsia="Times New Roman" w:hAnsi="Times New Roman"/>
          <w:b w:val="false"/>
          <w:bCs w:val="false"/>
          <w:i w:val="false"/>
          <w:iCs w:val="false"/>
          <w:color w:val="1F2937"/>
          <w:sz w:val="22"/>
          <w:szCs w:val="22"/>
        </w:rPr>
        <w:t xml:space="preserve">Reprends trois maximes de l'Enchiridion (texte en leçon 4 et accessible sur </w:t>
      </w:r>
    </w:p>
    <w:p>
      <w:pPr>
        <w:spacing w:after="120"/>
      </w:pPr>
      <w:r>
        <w:rPr>
          <w:rFonts w:ascii="Times New Roman" w:cs="Times New Roman" w:eastAsia="Times New Roman" w:hAnsi="Times New Roman"/>
          <w:b w:val="false"/>
          <w:bCs w:val="false"/>
          <w:i w:val="false"/>
          <w:iCs w:val="false"/>
          <w:color w:val="1F2937"/>
          <w:sz w:val="22"/>
          <w:szCs w:val="22"/>
        </w:rPr>
        <w:t xml:space="preserve">le </w:t>
      </w:r>
      <w:hyperlink w:history="1" r:id="rIdafdqsrgmv1xrnq8cgw2wf">
        <w:r>
          <w:rPr>
            <w:rFonts w:ascii="Times New Roman" w:cs="Times New Roman" w:eastAsia="Times New Roman" w:hAnsi="Times New Roman"/>
            <w:color w:val="1155CC"/>
            <w:sz w:val="22"/>
            <w:szCs w:val="22"/>
            <w:u w:val="single"/>
          </w:rPr>
          <w:t xml:space="preserve">texte intégral MIT</w:t>
        </w:r>
      </w:hyperlink>
      <w:r>
        <w:rPr>
          <w:rFonts w:ascii="Times New Roman" w:cs="Times New Roman" w:eastAsia="Times New Roman" w:hAnsi="Times New Roman"/>
          <w:b w:val="false"/>
          <w:bCs w:val="false"/>
          <w:i w:val="false"/>
          <w:iCs w:val="false"/>
          <w:color w:val="1F2937"/>
          <w:sz w:val="22"/>
          <w:szCs w:val="22"/>
        </w:rPr>
        <w:t xml:space="preserve">) et propose pour chacune une version christianisée.</w:t>
      </w:r>
    </w:p>
    <w:p>
      <w:pPr>
        <w:spacing w:after="120"/>
      </w:pPr>
      <w:r>
        <w:rPr>
          <w:rFonts w:ascii="Times New Roman" w:cs="Times New Roman" w:eastAsia="Times New Roman" w:hAnsi="Times New Roman"/>
          <w:b w:val="false"/>
          <w:bCs w:val="false"/>
          <w:i w:val="false"/>
          <w:iCs w:val="false"/>
          <w:color w:val="1F2937"/>
          <w:sz w:val="22"/>
          <w:szCs w:val="22"/>
        </w:rPr>
        <w:t xml:space="preserve">Méthode, en deux temps. ① La substitution documentée : là où Épictète invoque Socrate comme modèle, mets Paul — c'est celle que les monastères pratiquaient. ② La substitution que la leçon te propose d'essayer, et qui n'est pas attestée comme telle : remplace « Zeus », « le dieu », « la Nature » ou « le Logos » par « Dieu » ou « le Christ ». Ajuste les formulations qui en découlent, et note laquelle des deux résiste le mieux.</w:t>
      </w:r>
      <w:r>
        <w:rPr>
          <w:rFonts w:ascii="Times New Roman" w:cs="Times New Roman" w:eastAsia="Times New Roman" w:hAnsi="Times New Roman"/>
          <w:i/>
          <w:iCs/>
          <w:color w:val="6B7280"/>
          <w:sz w:val="20"/>
          <w:szCs w:val="20"/>
        </w:rPr>
        <w:t xml:space="preserve"> [Corrigé le 01/10/2026 : la méthode donnait pour documentée une substitution (Zeus → Dieu) que la source ne décrit pas ; la source décrit Paul à la place de Socrate. Les deux sont désormais distinguées.]</w:t>
      </w:r>
    </w:p>
    <w:p>
      <w:pPr>
        <w:spacing w:after="120"/>
      </w:pPr>
      <w:r>
        <w:rPr>
          <w:rFonts w:ascii="Times New Roman" w:cs="Times New Roman" w:eastAsia="Times New Roman" w:hAnsi="Times New Roman"/>
          <w:b w:val="false"/>
          <w:bCs w:val="false"/>
          <w:i w:val="false"/>
          <w:iCs w:val="false"/>
          <w:color w:val="1F2937"/>
          <w:sz w:val="22"/>
          <w:szCs w:val="22"/>
        </w:rPr>
        <w:t xml:space="preserve">Puis analyse, pour chaque maxime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La substitution passe-t-elle sans problème ? Pourquoi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Ou bute-t-elle sur une incompatibilité doctrinale (matérialisme, autosuffisance, absence de grâce) ? Laquelle ?</w:t>
      </w:r>
    </w:p>
    <w:p>
      <w:pPr>
        <w:pStyle w:val="ListParagraph"/>
        <w:numPr>
          <w:ilvl w:val="0"/>
          <w:numId w:val="1"/>
        </w:numPr>
        <w:spacing w:after="80"/>
      </w:pPr>
      <w:r>
        <w:rPr>
          <w:rFonts w:ascii="Times New Roman" w:cs="Times New Roman" w:eastAsia="Times New Roman" w:hAnsi="Times New Roman"/>
          <w:b w:val="false"/>
          <w:bCs w:val="false"/>
          <w:color w:val="1F2937"/>
          <w:sz w:val="22"/>
          <w:szCs w:val="22"/>
        </w:rPr>
        <w:t xml:space="preserve">Qu'est-ce que cet exercice t'apprend sur ce que le stoïcisme et le christianisme partagent vraiment — et sur ce qui les sépare en profondeur ?</w:t>
      </w:r>
    </w:p>
    <w:p>
      <w:pPr>
        <w:spacing w:after="10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Pont pro</w:t>
      </w:r>
    </w:p>
    <w:p>
      <w:pPr>
        <w:spacing w:after="120"/>
      </w:pPr>
      <w:r>
        <w:rPr>
          <w:rFonts w:ascii="Times New Roman" w:cs="Times New Roman" w:eastAsia="Times New Roman" w:hAnsi="Times New Roman"/>
          <w:b w:val="false"/>
          <w:bCs w:val="false"/>
          <w:i w:val="false"/>
          <w:iCs w:val="false"/>
          <w:color w:val="1F2937"/>
          <w:sz w:val="22"/>
          <w:szCs w:val="22"/>
        </w:rPr>
        <w:t xml:space="preserve">Les valeurs que tu mobilises dans ton travail de chef de service — équanimité, sens du devoir, attention à l'essentiel — ont une longue histoire dans la culture occidentale, souvent mêlée à des traditions religieuses qui restent vivantes dans les familles des personnes accompagnées. Cette leçon n'appelle pas à prendre position sur aucune d'elles : elle permet simplement de comprendre d'où viennent certaines références implicites, et d'éviter les contresens dans les échanges avec des familles ou des collègues dont le cadre de référence est différent. La formation au stoïcisme que tu construis ici est une ressource personnelle, pas un contenu à transmettre en équipe ni une grille à appliquer sur des projets institutionnels.</w:t>
      </w:r>
    </w:p>
    <w:p>
      <w:pPr>
        <w:spacing w:after="100"/>
      </w:pPr>
      <w:r>
        <w:t xml:space="preserve"/>
      </w:r>
    </w:p>
    <w:p>
      <w:pPr>
        <w:pStyle w:val="Heading2"/>
        <w:spacing w:after="120" w:before="280"/>
      </w:pPr>
      <w:r>
        <w:rPr>
          <w:rFonts w:ascii="Times New Roman" w:cs="Times New Roman" w:eastAsia="Times New Roman" w:hAnsi="Times New Roman"/>
          <w:b/>
          <w:bCs/>
          <w:color w:val="1B3A6B"/>
          <w:sz w:val="30"/>
          <w:szCs w:val="30"/>
        </w:rPr>
        <w:t xml:space="preserve">📚 Ressources</w:t>
      </w:r>
    </w:p>
    <w:p>
      <w:pPr>
        <w:spacing w:after="120"/>
      </w:pPr>
      <w:r>
        <w:rPr>
          <w:rFonts w:ascii="Times New Roman" w:cs="Times New Roman" w:eastAsia="Times New Roman" w:hAnsi="Times New Roman"/>
          <w:b w:val="false"/>
          <w:bCs w:val="false"/>
          <w:i w:val="false"/>
          <w:iCs w:val="false"/>
          <w:color w:val="1F2937"/>
          <w:sz w:val="22"/>
          <w:szCs w:val="22"/>
        </w:rPr>
        <w:t xml:space="preserve">• </w:t>
      </w:r>
      <w:hyperlink w:history="1" r:id="rIdqk7pr753gyukq4y8n26ru">
        <w:r>
          <w:rPr>
            <w:rFonts w:ascii="Times New Roman" w:cs="Times New Roman" w:eastAsia="Times New Roman" w:hAnsi="Times New Roman"/>
            <w:color w:val="1155CC"/>
            <w:sz w:val="22"/>
            <w:szCs w:val="22"/>
            <w:u w:val="single"/>
          </w:rPr>
          <w:t xml:space="preserve">Durand, Shogry et Baltzly — « Stoicism », Stanford Encyclopedia of Philosophy (2023)</w:t>
        </w:r>
      </w:hyperlink>
      <w:r>
        <w:rPr>
          <w:rFonts w:ascii="Times New Roman" w:cs="Times New Roman" w:eastAsia="Times New Roman" w:hAnsi="Times New Roman"/>
          <w:b w:val="false"/>
          <w:bCs w:val="false"/>
          <w:i w:val="false"/>
          <w:iCs w:val="false"/>
          <w:color w:val="1F2937"/>
          <w:sz w:val="22"/>
          <w:szCs w:val="22"/>
        </w:rPr>
        <w:t xml:space="preserve"> — Source principale pour la correspondance apocryphe Paul-Sénèque, la tradition du droit naturel, et la postérité sur Descartes/Kant.</w:t>
      </w:r>
    </w:p>
    <w:p>
      <w:pPr>
        <w:spacing w:after="120"/>
      </w:pPr>
      <w:r>
        <w:rPr>
          <w:rFonts w:ascii="Times New Roman" w:cs="Times New Roman" w:eastAsia="Times New Roman" w:hAnsi="Times New Roman"/>
          <w:b w:val="false"/>
          <w:bCs w:val="false"/>
          <w:i w:val="false"/>
          <w:iCs w:val="false"/>
          <w:color w:val="1F2937"/>
          <w:sz w:val="22"/>
          <w:szCs w:val="22"/>
        </w:rPr>
        <w:t xml:space="preserve">• </w:t>
      </w:r>
      <w:hyperlink w:history="1" r:id="rIdrjp0gjkpkk5-bbt7blebz">
        <w:r>
          <w:rPr>
            <w:rFonts w:ascii="Times New Roman" w:cs="Times New Roman" w:eastAsia="Times New Roman" w:hAnsi="Times New Roman"/>
            <w:color w:val="1155CC"/>
            <w:sz w:val="22"/>
            <w:szCs w:val="22"/>
            <w:u w:val="single"/>
          </w:rPr>
          <w:t xml:space="preserve">Massimo Pigliucci — « Stoicism », Internet Encyclopedia of Philosophy</w:t>
        </w:r>
      </w:hyperlink>
      <w:r>
        <w:rPr>
          <w:rFonts w:ascii="Times New Roman" w:cs="Times New Roman" w:eastAsia="Times New Roman" w:hAnsi="Times New Roman"/>
          <w:b w:val="false"/>
          <w:bCs w:val="false"/>
          <w:i w:val="false"/>
          <w:iCs w:val="false"/>
          <w:color w:val="1F2937"/>
          <w:sz w:val="22"/>
          <w:szCs w:val="22"/>
        </w:rPr>
        <w:t xml:space="preserve"> — Comparaison christianisme/épicurisme, figures médiévales (Augustin, Abélard, Jean de Salisbury), Justus Lipsius et néo-stoïcisme, postérité philosophique moderne.</w:t>
      </w:r>
    </w:p>
    <w:p>
      <w:pPr>
        <w:spacing w:after="120"/>
      </w:pPr>
      <w:r>
        <w:rPr>
          <w:rFonts w:ascii="Times New Roman" w:cs="Times New Roman" w:eastAsia="Times New Roman" w:hAnsi="Times New Roman"/>
          <w:b w:val="false"/>
          <w:bCs w:val="false"/>
          <w:i w:val="false"/>
          <w:iCs w:val="false"/>
          <w:color w:val="1F2937"/>
          <w:sz w:val="22"/>
          <w:szCs w:val="22"/>
        </w:rPr>
        <w:t xml:space="preserve">• </w:t>
      </w:r>
      <w:hyperlink w:history="1" r:id="rId_jaofbqgmti_pnymmlyb3">
        <w:r>
          <w:rPr>
            <w:rFonts w:ascii="Times New Roman" w:cs="Times New Roman" w:eastAsia="Times New Roman" w:hAnsi="Times New Roman"/>
            <w:color w:val="1155CC"/>
            <w:sz w:val="22"/>
            <w:szCs w:val="22"/>
            <w:u w:val="single"/>
          </w:rPr>
          <w:t xml:space="preserve">Stoicism — Wikipedia</w:t>
        </w:r>
      </w:hyperlink>
      <w:r>
        <w:rPr>
          <w:rFonts w:ascii="Times New Roman" w:cs="Times New Roman" w:eastAsia="Times New Roman" w:hAnsi="Times New Roman"/>
          <w:b w:val="false"/>
          <w:bCs w:val="false"/>
          <w:i w:val="false"/>
          <w:iCs w:val="false"/>
          <w:color w:val="1F2937"/>
          <w:sz w:val="22"/>
          <w:szCs w:val="22"/>
        </w:rPr>
        <w:t xml:space="preserve"> — Principaux Pères de l'Église influencés (Tertullien, Ambroise, Clément), divergences théologiques fondamentales, néo-stoïcisme. Lecture d'appui.</w:t>
      </w:r>
    </w:p>
    <w:p>
      <w:pPr>
        <w:spacing w:after="120"/>
      </w:pPr>
      <w:r>
        <w:rPr>
          <w:rFonts w:ascii="Times New Roman" w:cs="Times New Roman" w:eastAsia="Times New Roman" w:hAnsi="Times New Roman"/>
          <w:b w:val="false"/>
          <w:bCs w:val="false"/>
          <w:i w:val="false"/>
          <w:iCs w:val="false"/>
          <w:color w:val="1F2937"/>
          <w:sz w:val="22"/>
          <w:szCs w:val="22"/>
        </w:rPr>
        <w:t xml:space="preserve">• </w:t>
      </w:r>
      <w:hyperlink w:history="1" r:id="rId_efaq0iqo3exvb1i0b1wd">
        <w:r>
          <w:rPr>
            <w:rFonts w:ascii="Times New Roman" w:cs="Times New Roman" w:eastAsia="Times New Roman" w:hAnsi="Times New Roman"/>
            <w:color w:val="1155CC"/>
            <w:sz w:val="22"/>
            <w:szCs w:val="22"/>
            <w:u w:val="single"/>
          </w:rPr>
          <w:t xml:space="preserve">Elizabeth Agnew Cochran — « Stoicism and Christian Ethics », St Andrews Encyclopaedia of Theology</w:t>
        </w:r>
      </w:hyperlink>
      <w:r>
        <w:rPr>
          <w:rFonts w:ascii="Times New Roman" w:cs="Times New Roman" w:eastAsia="Times New Roman" w:hAnsi="Times New Roman"/>
          <w:b w:val="false"/>
          <w:bCs w:val="false"/>
          <w:i w:val="false"/>
          <w:iCs w:val="false"/>
          <w:color w:val="1F2937"/>
          <w:sz w:val="22"/>
          <w:szCs w:val="22"/>
        </w:rPr>
        <w:t xml:space="preserve"> — Source de Grotius, Shaftesbury, Rousseau et Adam Smith dans la postérité moderne, et des auteurs chrétiens sur lesquels Lipsius s'appuie (Grégoire de Nysse, Ambroise, Jérôme, Clément d'Alexandrie, Augustin). Traite aussi Calvin, Luther et Jonathan Edwards, non repris ici.</w:t>
      </w:r>
    </w:p>
    <w:p>
      <w:pPr>
        <w:spacing w:after="120"/>
      </w:pPr>
      <w:r>
        <w:rPr>
          <w:rFonts w:ascii="Times New Roman" w:cs="Times New Roman" w:eastAsia="Times New Roman" w:hAnsi="Times New Roman"/>
          <w:b w:val="false"/>
          <w:bCs w:val="false"/>
          <w:i w:val="false"/>
          <w:iCs w:val="false"/>
          <w:color w:val="1F2937"/>
          <w:sz w:val="22"/>
          <w:szCs w:val="22"/>
        </w:rPr>
        <w:t xml:space="preserve">• </w:t>
      </w:r>
      <w:hyperlink w:history="1" r:id="rIdrxudslzal_mvnusuccuxr">
        <w:r>
          <w:rPr>
            <w:rFonts w:ascii="Times New Roman" w:cs="Times New Roman" w:eastAsia="Times New Roman" w:hAnsi="Times New Roman"/>
            <w:color w:val="1155CC"/>
            <w:sz w:val="22"/>
            <w:szCs w:val="22"/>
            <w:u w:val="single"/>
          </w:rPr>
          <w:t xml:space="preserve">Samuli Siikavirta (Univ. Cambridge) — Recension de « Stoicism in Early Christianity » (éd. Rasimus, Engberg-Pedersen, Dunderberg, Baker Academic, 2010)</w:t>
        </w:r>
      </w:hyperlink>
      <w:r>
        <w:rPr>
          <w:rFonts w:ascii="Times New Roman" w:cs="Times New Roman" w:eastAsia="Times New Roman" w:hAnsi="Times New Roman"/>
          <w:b w:val="false"/>
          <w:bCs w:val="false"/>
          <w:i w:val="false"/>
          <w:iCs w:val="false"/>
          <w:color w:val="1F2937"/>
          <w:sz w:val="22"/>
          <w:szCs w:val="22"/>
        </w:rPr>
        <w:t xml:space="preserve"> — Détails sur l'influence stoïcienne dans les textes pauliniens (Romains 12-15), et le modèle du sage-enseignant stoïcien que Stowers lit dans le Jésus de Matthieu. Ne porte RIEN sur l'Enchiridion : le mot n'y figure pas.</w:t>
      </w:r>
    </w:p>
    <w:p>
      <w:pPr>
        <w:spacing w:after="120"/>
      </w:pPr>
      <w:r>
        <w:rPr>
          <w:rFonts w:ascii="Times New Roman" w:cs="Times New Roman" w:eastAsia="Times New Roman" w:hAnsi="Times New Roman"/>
          <w:b w:val="false"/>
          <w:bCs w:val="false"/>
          <w:i w:val="false"/>
          <w:iCs w:val="false"/>
          <w:color w:val="1F2937"/>
          <w:sz w:val="22"/>
          <w:szCs w:val="22"/>
        </w:rPr>
        <w:t xml:space="preserve">• </w:t>
      </w:r>
      <w:hyperlink w:history="1" r:id="rIdqo6i3icga-kdac35m8ra0">
        <w:r>
          <w:rPr>
            <w:rFonts w:ascii="Times New Roman" w:cs="Times New Roman" w:eastAsia="Times New Roman" w:hAnsi="Times New Roman"/>
            <w:color w:val="1155CC"/>
            <w:sz w:val="22"/>
            <w:szCs w:val="22"/>
            <w:u w:val="single"/>
          </w:rPr>
          <w:t xml:space="preserve">Daily Stoic — « Stoicism and Christianity »</w:t>
        </w:r>
      </w:hyperlink>
      <w:r>
        <w:rPr>
          <w:rFonts w:ascii="Times New Roman" w:cs="Times New Roman" w:eastAsia="Times New Roman" w:hAnsi="Times New Roman"/>
          <w:b w:val="false"/>
          <w:bCs w:val="false"/>
          <w:i w:val="false"/>
          <w:iCs w:val="false"/>
          <w:color w:val="1F2937"/>
          <w:sz w:val="22"/>
          <w:szCs w:val="22"/>
        </w:rPr>
        <w:t xml:space="preserve"> — Synthèse grand public, citée au § des divergences : les deux traditions se recouvrent sur plusieurs points mais comptent entre elles plus de différences que de similitudes.</w:t>
      </w:r>
    </w:p>
    <w:p>
      <w:pPr>
        <w:spacing w:after="100"/>
      </w:pPr>
      <w:r>
        <w:t xml:space="preserve"/>
      </w:r>
    </w:p>
    <w:p>
      <w:pPr>
        <w:pStyle w:val="Heading2"/>
        <w:spacing w:after="120" w:before="280"/>
      </w:pPr>
      <w:r>
        <w:rPr>
          <w:rFonts w:ascii="Times New Roman" w:cs="Times New Roman" w:eastAsia="Times New Roman" w:hAnsi="Times New Roman"/>
          <w:b/>
          <w:bCs/>
          <w:color w:val="1B3A6B"/>
          <w:sz w:val="30"/>
          <w:szCs w:val="30"/>
        </w:rPr>
        <w:t xml:space="preserve">🔜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Leçon 18 : Stoïcisme et thérapies cognitives — une filiation revendiquée, et ce qu'elle vaut</w:t>
      </w:r>
    </w:p>
    <w:p>
      <w:pPr>
        <w:spacing w:after="120"/>
      </w:pPr>
      <w:r>
        <w:rPr>
          <w:rFonts w:ascii="Times New Roman" w:cs="Times New Roman" w:eastAsia="Times New Roman" w:hAnsi="Times New Roman"/>
          <w:b w:val="false"/>
          <w:bCs w:val="false"/>
          <w:i w:val="false"/>
          <w:iCs w:val="false"/>
          <w:color w:val="1F2937"/>
          <w:sz w:val="22"/>
          <w:szCs w:val="22"/>
        </w:rPr>
        <w:t xml:space="preserve">Albert Ellis (REBT) et Aaron Beck (TCC) se sont explicitement réclamés d'Épictète. Mais que reste-t-il vraiment du stoïcisme dans la TCC ? Quelles ressemblances sont de vraies continuités, et lesquelles sont des convergences superficielles ? Et où la psychothérapie diverge-t-elle radicalement d'une philosophie de vie ?</w:t>
      </w:r>
    </w:p>
    <w:p>
      <w:pPr>
        <w:pStyle w:val="Heading2"/>
        <w:spacing w:after="100" w:before="280"/>
      </w:pPr>
      <w:r>
        <w:rPr>
          <w:rFonts w:ascii="Times New Roman" w:cs="Times New Roman" w:eastAsia="Times New Roman" w:hAnsi="Times New Roman"/>
          <w:b/>
          <w:bCs/>
          <w:color w:val="1B3A6B"/>
          <w:sz w:val="28"/>
          <w:szCs w:val="28"/>
        </w:rPr>
        <w:t xml:space="preserve">📝 Journal des corrections (01/10/2026)</w:t>
      </w:r>
    </w:p>
    <w:p>
      <w:pPr>
        <w:spacing w:after="40" w:before="40"/>
      </w:pPr>
      <w:r>
        <w:rPr>
          <w:rFonts w:ascii="Times New Roman" w:cs="Times New Roman" w:eastAsia="Times New Roman" w:hAnsi="Times New Roman"/>
          <w:color w:val="1F2937"/>
          <w:sz w:val="22"/>
          <w:szCs w:val="22"/>
        </w:rPr>
        <w:t xml:space="preserve">Relecture du 01/10/2026 : les sept pages liées rouvertes (toutes en 200), chaque attribution nominative recherchée sur la page citée. Les corrections sont intégrées au texte et marquées [Corrigé le 01/10/2026 : …]. Formulations d'origine :</w:t>
      </w:r>
    </w:p>
    <w:p>
      <w:pPr>
        <w:spacing w:after="40" w:before="40"/>
      </w:pPr>
      <w:r>
        <w:rPr>
          <w:rFonts w:ascii="Times New Roman" w:cs="Times New Roman" w:eastAsia="Times New Roman" w:hAnsi="Times New Roman"/>
          <w:color w:val="1F2937"/>
          <w:sz w:val="22"/>
          <w:szCs w:val="22"/>
        </w:rPr>
        <w:t xml:space="preserve">Enchiridion — « selon Samuli Siikavirta (Univ. Cambridge) […] des théologiens chrétiens ont adapté l'Enchiridion d'Épictète à trois reprises pour le monachisme, remplaçant les références à Zeus et au Logos par des références à Dieu ». Le mot « Enchiridion » ne figure pas sur la page de Siikavirta ; le fait est chez Pigliucci (IEP), qui écrit « commonly used (with Paul replacing Socrates) in monasteries ».</w:t>
      </w:r>
    </w:p>
    <w:p>
      <w:pPr>
        <w:spacing w:after="40" w:before="40"/>
      </w:pPr>
      <w:r>
        <w:rPr>
          <w:rFonts w:ascii="Times New Roman" w:cs="Times New Roman" w:eastAsia="Times New Roman" w:hAnsi="Times New Roman"/>
          <w:color w:val="1F2937"/>
          <w:sz w:val="22"/>
          <w:szCs w:val="22"/>
        </w:rPr>
        <w:t xml:space="preserve">Challenge — « L'Enchiridion d'Épictète a été adapté à trois reprises pour le monachisme chrétien », et la méthode « remplace Zeus, le dieu, la Nature ou le Logos par Dieu ou le Christ » donnée comme documentée.</w:t>
      </w:r>
    </w:p>
    <w:p>
      <w:pPr>
        <w:spacing w:after="40" w:before="40"/>
      </w:pPr>
      <w:r>
        <w:rPr>
          <w:rFonts w:ascii="Times New Roman" w:cs="Times New Roman" w:eastAsia="Times New Roman" w:hAnsi="Times New Roman"/>
          <w:color w:val="1F2937"/>
          <w:sz w:val="22"/>
          <w:szCs w:val="22"/>
        </w:rPr>
        <w:t xml:space="preserve">Augustin — « Il adopte certaines positions stoïciennes sur le droit naturel, la philosophie du langage et le statut moral des animaux (La Cité de Dieu, 1.20 ; Épître 153.4) ». La SEP s'en tient aux animaux et à la philosophie du langage ; Épître 153.4 y est la référence de la correspondance apocryphe.</w:t>
      </w:r>
    </w:p>
    <w:p>
      <w:pPr>
        <w:spacing w:after="40" w:before="40"/>
      </w:pPr>
      <w:r>
        <w:rPr>
          <w:rFonts w:ascii="Times New Roman" w:cs="Times New Roman" w:eastAsia="Times New Roman" w:hAnsi="Times New Roman"/>
          <w:color w:val="1F2937"/>
          <w:sz w:val="22"/>
          <w:szCs w:val="22"/>
        </w:rPr>
        <w:t xml:space="preserve">Tertullien — « qualifie Sénèque de penseur proche de la vérité chrétienne (De Anima, 20.1) ». Référence absente des sept pages.</w:t>
      </w:r>
    </w:p>
    <w:p>
      <w:pPr>
        <w:spacing w:after="40" w:before="40"/>
      </w:pPr>
      <w:r>
        <w:rPr>
          <w:rFonts w:ascii="Times New Roman" w:cs="Times New Roman" w:eastAsia="Times New Roman" w:hAnsi="Times New Roman"/>
          <w:color w:val="1F2937"/>
          <w:sz w:val="22"/>
          <w:szCs w:val="22"/>
        </w:rPr>
        <w:t xml:space="preserve">Ambroise — « rédige le De Officiis Ministrorum directement calqué sur le De Officiis de Cicéron ». Absent des sept pages ; la SEP documente Cicéron calquant Panétius.</w:t>
      </w:r>
    </w:p>
    <w:p>
      <w:pPr>
        <w:spacing w:after="40" w:before="40"/>
      </w:pPr>
      <w:r>
        <w:rPr>
          <w:rFonts w:ascii="Times New Roman" w:cs="Times New Roman" w:eastAsia="Times New Roman" w:hAnsi="Times New Roman"/>
          <w:color w:val="1F2937"/>
          <w:sz w:val="22"/>
          <w:szCs w:val="22"/>
        </w:rPr>
        <w:t xml:space="preserve">Postérité moderne — « selon Durand, Shogry et Baltzly (SEP), l'influence du stoïcisme sur Descartes, Spinoza, Leibniz et Kant ». Sur la SEP : Descartes 0, Spinoza 0, Leibniz 0, Kant 1 ; sur IEP : 4, 12, 2 et 5.</w:t>
      </w:r>
    </w:p>
    <w:p>
      <w:pPr>
        <w:spacing w:after="40" w:before="40"/>
      </w:pPr>
      <w:r>
        <w:rPr>
          <w:rFonts w:ascii="Times New Roman" w:cs="Times New Roman" w:eastAsia="Times New Roman" w:hAnsi="Times New Roman"/>
          <w:color w:val="1F2937"/>
          <w:sz w:val="22"/>
          <w:szCs w:val="22"/>
        </w:rPr>
        <w:t xml:space="preserve">Droit naturel — « aux juristes modernes comme Hugo Grotius », prêté à la SEP, où Grotius ne figure pas. Il est chez Cochran (SAET).</w:t>
      </w:r>
    </w:p>
    <w:p>
      <w:pPr>
        <w:spacing w:after="40" w:before="40"/>
      </w:pPr>
      <w:r>
        <w:rPr>
          <w:rFonts w:ascii="Times New Roman" w:cs="Times New Roman" w:eastAsia="Times New Roman" w:hAnsi="Times New Roman"/>
          <w:color w:val="1F2937"/>
          <w:sz w:val="22"/>
          <w:szCs w:val="22"/>
        </w:rPr>
        <w:t xml:space="preserve">Pères de l'Église — la section n'indiquait aucune source pour quatre références précises.</w:t>
      </w:r>
    </w:p>
    <w:p>
      <w:pPr>
        <w:spacing w:after="40" w:before="40"/>
      </w:pPr>
      <w:r>
        <w:rPr>
          <w:rFonts w:ascii="Times New Roman" w:cs="Times New Roman" w:eastAsia="Times New Roman" w:hAnsi="Times New Roman"/>
          <w:color w:val="1F2937"/>
          <w:sz w:val="22"/>
          <w:szCs w:val="22"/>
        </w:rPr>
        <w:t xml:space="preserve">Ressources — Cochran (SAET) et Daily Stoic étaient listés avec une caractérisation détaillée sans que rien du corps n'en vienne : Cochran 0, Calvin 0, Luther 0, Edwards 0 occurrence. Les deux sont désormais employés et leurs lignes décrivent ce qui en est tiré.</w:t>
      </w:r>
    </w:p>
    <w:p>
      <w:pPr>
        <w:spacing w:after="40" w:before="40"/>
      </w:pPr>
      <w:r>
        <w:rPr>
          <w:rFonts w:ascii="Times New Roman" w:cs="Times New Roman" w:eastAsia="Times New Roman" w:hAnsi="Times New Roman"/>
          <w:color w:val="1F2937"/>
          <w:sz w:val="22"/>
          <w:szCs w:val="22"/>
        </w:rPr>
        <w:t xml:space="preserve">Ressources (suite) — la ligne Siikavirta annonçait « les trois adaptations chrétiennes de l'Enchiridion ». Ses deux autres apports sont exacts et conservés : Romains 12-15 d'après Thorsteinsson, et le sage-enseignant stoïcien que Stanley K. Stowers lit dans le Jésus de Matthieu.</w:t>
      </w:r>
    </w:p>
    <w:p>
      <w:pPr>
        <w:spacing w:after="40" w:before="40"/>
      </w:pPr>
      <w:r>
        <w:rPr>
          <w:rFonts w:ascii="Times New Roman" w:cs="Times New Roman" w:eastAsia="Times New Roman" w:hAnsi="Times New Roman"/>
          <w:color w:val="1F2937"/>
          <w:sz w:val="22"/>
          <w:szCs w:val="22"/>
        </w:rPr>
        <w:t xml:space="preserve">Coquilles — « semble découlter » pour découler ; « quand je comets » pour commets.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fdqsrgmv1xrnq8cgw2wf" Type="http://schemas.openxmlformats.org/officeDocument/2006/relationships/hyperlink" Target="https://classics.mit.edu/Epictetus/epicench.html" TargetMode="External"/><Relationship Id="rIdqk7pr753gyukq4y8n26ru" Type="http://schemas.openxmlformats.org/officeDocument/2006/relationships/hyperlink" Target="https://plato.stanford.edu/entries/stoicism/" TargetMode="External"/><Relationship Id="rIdrjp0gjkpkk5-bbt7blebz" Type="http://schemas.openxmlformats.org/officeDocument/2006/relationships/hyperlink" Target="https://iep.utm.edu/stoicism/" TargetMode="External"/><Relationship Id="rId_jaofbqgmti_pnymmlyb3" Type="http://schemas.openxmlformats.org/officeDocument/2006/relationships/hyperlink" Target="https://en.wikipedia.org/wiki/Stoicism" TargetMode="External"/><Relationship Id="rId_efaq0iqo3exvb1i0b1wd" Type="http://schemas.openxmlformats.org/officeDocument/2006/relationships/hyperlink" Target="https://www.saet.ac.uk/Christianity/StoicismandChristianEthics" TargetMode="External"/><Relationship Id="rIdrxudslzal_mvnusuccuxr" Type="http://schemas.openxmlformats.org/officeDocument/2006/relationships/hyperlink" Target="https://rbecs.org/2013/08/01/sec/" TargetMode="External"/><Relationship Id="rIdqo6i3icga-kdac35m8ra0" Type="http://schemas.openxmlformats.org/officeDocument/2006/relationships/hyperlink" Target="https://dailystoic.com/stoicism-and-christianity/"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2026-10-01T06:11:04.509Z</dcterms:created>
  <dcterms:modified xsi:type="dcterms:W3CDTF">2026-10-01T06:11:04.510Z</dcterms:modified>
</cp:coreProperties>
</file>

<file path=docProps/custom.xml><?xml version="1.0" encoding="utf-8"?>
<Properties xmlns="http://schemas.openxmlformats.org/officeDocument/2006/custom-properties" xmlns:vt="http://schemas.openxmlformats.org/officeDocument/2006/docPropsVTypes"/>
</file>