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color w:val="1B3A6B"/>
          <w:sz w:val="52"/>
          <w:szCs w:val="52"/>
        </w:rPr>
        <w:t xml:space="preserve">Leçon Placement financier n°06</w:t>
      </w:r>
    </w:p>
    <w:p>
      <w:pPr>
        <w:spacing w:after="240" w:before="240"/>
        <w:jc w:val="center"/>
      </w:pPr>
      <w:r>
        <w:rPr>
          <w:rFonts w:ascii="Times New Roman" w:cs="Times New Roman" w:eastAsia="Times New Roman" w:hAnsi="Times New Roman"/>
          <w:b/>
          <w:bCs/>
          <w:color w:val="1B3A6B"/>
          <w:sz w:val="52"/>
          <w:szCs w:val="52"/>
        </w:rPr>
        <w:t xml:space="preserve">L'assurance-vie en détail :</w:t>
      </w:r>
    </w:p>
    <w:p>
      <w:pPr>
        <w:spacing w:after="240" w:before="240"/>
        <w:jc w:val="center"/>
      </w:pPr>
      <w:r>
        <w:rPr>
          <w:rFonts w:ascii="Times New Roman" w:cs="Times New Roman" w:eastAsia="Times New Roman" w:hAnsi="Times New Roman"/>
          <w:b/>
          <w:bCs/>
          <w:color w:val="1B3A6B"/>
          <w:sz w:val="52"/>
          <w:szCs w:val="52"/>
        </w:rPr>
        <w:t xml:space="preserve">fonds euros, unités de compte, fiscalité &amp; succession</w:t>
      </w:r>
    </w:p>
    <w:p>
      <w:pPr>
        <w:spacing w:after="300"/>
        <w:jc w:val="center"/>
      </w:pPr>
      <w:r>
        <w:rPr>
          <w:rFonts w:ascii="Times New Roman" w:cs="Times New Roman" w:eastAsia="Times New Roman" w:hAnsi="Times New Roman"/>
          <w:i/>
          <w:iCs/>
          <w:color w:val="1F2937"/>
          <w:sz w:val="20"/>
          <w:szCs w:val="20"/>
        </w:rPr>
        <w:t xml:space="preserve">Date : 18 juillet 2026  •  Module Intermédiaire — Leçon 6/16</w:t>
      </w: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distinguer les deux grandes familles de supports disponibles dans un contrat d'assurance-vie (fonds euros et unités de compte), comprendre pourquoi la durée de détention est un levier fiscal décisif, et rédiger ou faire rédiger une clause bénéficiaire sans commettre les erreurs courantes.</w:t>
      </w:r>
    </w:p>
    <w:p>
      <w:pPr>
        <w:spacing w:after="120"/>
      </w:pPr>
      <w:r>
        <w:rPr>
          <w:rFonts w:ascii="Times New Roman" w:cs="Times New Roman" w:eastAsia="Times New Roman" w:hAnsi="Times New Roman"/>
          <w:color w:val="1F2937"/>
          <w:sz w:val="22"/>
          <w:szCs w:val="22"/>
        </w:rPr>
        <w:t xml:space="preserve">Lien avec la leçon 5 : tu connais désormais les grandes enveloppes françaises (livrets, PEA, PER, assurance-vie…). Cette leçon est le zoom sur l'assurance-vie, l'enveloppe la plus polyvalente du paysage français.</w:t>
      </w: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Rappel déontologique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Cette leçon relève de l'ÉDUCATION FINANCIÈRE GÉNÉRALE. Elle NE constitue en aucun cas un conseil en investissement personnalisé. Certains supports comportent un RISQUE DE PERTE EN CAPITAL. Pour toute décision, consulte un conseiller en gestion de patrimoine (CGP) ou un conseiller en investissements financiers (CIF) agréé AMF.</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Théorie (20 %) — Les fondamentaux de l'assurance-vie</w:t>
      </w:r>
    </w:p>
    <w:p>
      <w:pPr>
        <w:spacing w:after="100" w:before="200"/>
      </w:pPr>
      <w:r>
        <w:rPr>
          <w:rFonts w:ascii="Times New Roman" w:cs="Times New Roman" w:eastAsia="Times New Roman" w:hAnsi="Times New Roman"/>
          <w:b/>
          <w:bCs/>
          <w:color w:val="1F2937"/>
          <w:sz w:val="26"/>
          <w:szCs w:val="26"/>
        </w:rPr>
        <w:t xml:space="preserve">1. Qu'est-ce que l'assurance-vie ?</w:t>
      </w:r>
    </w:p>
    <w:p>
      <w:pPr>
        <w:spacing w:after="120"/>
      </w:pPr>
      <w:r>
        <w:rPr>
          <w:rFonts w:ascii="Times New Roman" w:cs="Times New Roman" w:eastAsia="Times New Roman" w:hAnsi="Times New Roman"/>
          <w:color w:val="1F2937"/>
          <w:sz w:val="22"/>
          <w:szCs w:val="22"/>
        </w:rPr>
        <w:t xml:space="preserve">L'assurance-vie est un contrat entre un souscripteur (toi) et une compagnie d'assurance. Tu effectues des versements (libres ou programmés) sur un ou plusieurs supports, et le capital fructifie en franchise d'impôt tant que tu ne fais pas de retrait. Ce n'est pas une assurance-décès au sens littéral : c'est avant tout un outil d'épargne à avantages fiscaux.</w:t>
      </w:r>
    </w:p>
    <w:p>
      <w:pPr>
        <w:pStyle w:val="ListParagraph"/>
        <w:numPr>
          <w:ilvl w:val="0"/>
          <w:numId w:val="1"/>
        </w:numPr>
        <w:spacing w:after="80"/>
      </w:pPr>
      <w:r>
        <w:rPr>
          <w:rFonts w:ascii="Times New Roman" w:cs="Times New Roman" w:eastAsia="Times New Roman" w:hAnsi="Times New Roman"/>
          <w:color w:val="1F2937"/>
          <w:sz w:val="22"/>
          <w:szCs w:val="22"/>
        </w:rPr>
        <w:t xml:space="preserve">Souplesse des versements : à tout moment, sans plafond légal</w:t>
      </w:r>
    </w:p>
    <w:p>
      <w:pPr>
        <w:pStyle w:val="ListParagraph"/>
        <w:numPr>
          <w:ilvl w:val="0"/>
          <w:numId w:val="1"/>
        </w:numPr>
        <w:spacing w:after="80"/>
      </w:pPr>
      <w:r>
        <w:rPr>
          <w:rFonts w:ascii="Times New Roman" w:cs="Times New Roman" w:eastAsia="Times New Roman" w:hAnsi="Times New Roman"/>
          <w:color w:val="1F2937"/>
          <w:sz w:val="22"/>
          <w:szCs w:val="22"/>
        </w:rPr>
        <w:t xml:space="preserve">Disponibilité : tu peux récupérer ton argent à tout moment (rachat partiel ou total)</w:t>
      </w:r>
    </w:p>
    <w:p>
      <w:pPr>
        <w:pStyle w:val="ListParagraph"/>
        <w:numPr>
          <w:ilvl w:val="0"/>
          <w:numId w:val="1"/>
        </w:numPr>
        <w:spacing w:after="80"/>
      </w:pPr>
      <w:r>
        <w:rPr>
          <w:rFonts w:ascii="Times New Roman" w:cs="Times New Roman" w:eastAsia="Times New Roman" w:hAnsi="Times New Roman"/>
          <w:color w:val="1F2937"/>
          <w:sz w:val="22"/>
          <w:szCs w:val="22"/>
        </w:rPr>
        <w:t xml:space="preserve">Double usage : épargne disponible + transmission de capital</w:t>
      </w:r>
    </w:p>
    <w:p>
      <w:pPr>
        <w:spacing w:after="80"/>
      </w:pPr>
    </w:p>
    <w:p>
      <w:pPr>
        <w:spacing w:after="100" w:before="200"/>
      </w:pPr>
      <w:r>
        <w:rPr>
          <w:rFonts w:ascii="Times New Roman" w:cs="Times New Roman" w:eastAsia="Times New Roman" w:hAnsi="Times New Roman"/>
          <w:b/>
          <w:bCs/>
          <w:color w:val="1F2937"/>
          <w:sz w:val="26"/>
          <w:szCs w:val="26"/>
        </w:rPr>
        <w:t xml:space="preserve">2. Fonds en euros : la sécurité</w:t>
      </w:r>
    </w:p>
    <w:p>
      <w:pPr>
        <w:spacing w:after="120"/>
      </w:pPr>
      <w:r>
        <w:rPr>
          <w:rFonts w:ascii="Times New Roman" w:cs="Times New Roman" w:eastAsia="Times New Roman" w:hAnsi="Times New Roman"/>
          <w:color w:val="1F2937"/>
          <w:sz w:val="22"/>
          <w:szCs w:val="22"/>
        </w:rPr>
        <w:t xml:space="preserve">Le fonds en euros est le support sécurisé de l'assurance-vie. L'assureur garantit le capital investi et crédite chaque année une revalorisation. Une fois affectés, les gains ne peuvent jamais être perdus (effet cliquet). En contrepartie, les rendements sont limités.</w:t>
      </w:r>
    </w:p>
    <w:p>
      <w:pPr>
        <w:spacing w:after="120" w:before="60"/>
        <w:ind w:left="360"/>
      </w:pPr>
      <w:r>
        <w:rPr>
          <w:rFonts w:ascii="Times New Roman" w:cs="Times New Roman" w:eastAsia="Times New Roman" w:hAnsi="Times New Roman"/>
          <w:i/>
          <w:iCs/>
          <w:color w:val="1B3A6B"/>
          <w:sz w:val="22"/>
          <w:szCs w:val="22"/>
        </w:rPr>
        <w:t xml:space="preserve">Selon lafinancepourtous.com : « Le capital placé ne peut jamais diminuer. » — principe du fonds en euros.</w:t>
      </w:r>
    </w:p>
    <w:p>
      <w:pPr>
        <w:pStyle w:val="ListParagraph"/>
        <w:numPr>
          <w:ilvl w:val="0"/>
          <w:numId w:val="1"/>
        </w:numPr>
        <w:spacing w:after="80"/>
      </w:pPr>
      <w:r>
        <w:rPr>
          <w:rFonts w:ascii="Times New Roman" w:cs="Times New Roman" w:eastAsia="Times New Roman" w:hAnsi="Times New Roman"/>
          <w:color w:val="1F2937"/>
          <w:sz w:val="22"/>
          <w:szCs w:val="22"/>
        </w:rPr>
        <w:t xml:space="preserve">Rendement moyen historique : en baisse régulière depuis une décennie (autour de 2,5 % net en 2023-2024 pour les meilleurs fonds, selon les données de marché)</w:t>
      </w:r>
    </w:p>
    <w:p>
      <w:pPr>
        <w:pStyle w:val="ListParagraph"/>
        <w:numPr>
          <w:ilvl w:val="0"/>
          <w:numId w:val="1"/>
        </w:numPr>
        <w:spacing w:after="80"/>
      </w:pPr>
      <w:r>
        <w:rPr>
          <w:rFonts w:ascii="Times New Roman" w:cs="Times New Roman" w:eastAsia="Times New Roman" w:hAnsi="Times New Roman"/>
          <w:color w:val="1F2937"/>
          <w:sz w:val="22"/>
          <w:szCs w:val="22"/>
        </w:rPr>
        <w:t xml:space="preserve">Point de vigilance : les prélèvements sociaux s'appliquent chaque année sur le fonds euros</w:t>
      </w:r>
    </w:p>
    <w:p>
      <w:pPr>
        <w:pStyle w:val="ListParagraph"/>
        <w:numPr>
          <w:ilvl w:val="0"/>
          <w:numId w:val="1"/>
        </w:numPr>
        <w:spacing w:after="80"/>
      </w:pPr>
      <w:r>
        <w:rPr>
          <w:rFonts w:ascii="Times New Roman" w:cs="Times New Roman" w:eastAsia="Times New Roman" w:hAnsi="Times New Roman"/>
          <w:color w:val="1F2937"/>
          <w:sz w:val="22"/>
          <w:szCs w:val="22"/>
        </w:rPr>
        <w:t xml:space="preserve">Idéal pour la part sécurisée, notamment à l'approche de l'échéance</w:t>
      </w:r>
    </w:p>
    <w:p>
      <w:pPr>
        <w:spacing w:after="80"/>
      </w:pPr>
    </w:p>
    <w:p>
      <w:pPr>
        <w:spacing w:after="100" w:before="200"/>
      </w:pPr>
      <w:r>
        <w:rPr>
          <w:rFonts w:ascii="Times New Roman" w:cs="Times New Roman" w:eastAsia="Times New Roman" w:hAnsi="Times New Roman"/>
          <w:b/>
          <w:bCs/>
          <w:color w:val="1F2937"/>
          <w:sz w:val="26"/>
          <w:szCs w:val="26"/>
        </w:rPr>
        <w:t xml:space="preserve">3. Unités de compte (UC) : le dynamisme avec risque</w:t>
      </w:r>
    </w:p>
    <w:p>
      <w:pPr>
        <w:spacing w:after="120"/>
      </w:pPr>
      <w:r>
        <w:rPr>
          <w:rFonts w:ascii="Times New Roman" w:cs="Times New Roman" w:eastAsia="Times New Roman" w:hAnsi="Times New Roman"/>
          <w:color w:val="1F2937"/>
          <w:sz w:val="22"/>
          <w:szCs w:val="22"/>
        </w:rPr>
        <w:t xml:space="preserve">Les unités de compte représentent des parts d'organismes de placement collectif (OPC) : actions, obligations, immobilier (SCPI), actifs diversifiés. La valeur fluctue à la hausse comme à la baisse.</w:t>
      </w:r>
    </w:p>
    <w:p>
      <w:pPr>
        <w:pStyle w:val="ListParagraph"/>
        <w:numPr>
          <w:ilvl w:val="0"/>
          <w:numId w:val="1"/>
        </w:numPr>
        <w:spacing w:after="80"/>
      </w:pPr>
      <w:r>
        <w:rPr>
          <w:rFonts w:ascii="Times New Roman" w:cs="Times New Roman" w:eastAsia="Times New Roman" w:hAnsi="Times New Roman"/>
          <w:color w:val="1F2937"/>
          <w:sz w:val="22"/>
          <w:szCs w:val="22"/>
        </w:rPr>
        <w:t xml:space="preserve">Risque de perte en capital : le cours peut baisser</w:t>
      </w:r>
    </w:p>
    <w:p>
      <w:pPr>
        <w:pStyle w:val="ListParagraph"/>
        <w:numPr>
          <w:ilvl w:val="0"/>
          <w:numId w:val="1"/>
        </w:numPr>
        <w:spacing w:after="80"/>
      </w:pPr>
      <w:r>
        <w:rPr>
          <w:rFonts w:ascii="Times New Roman" w:cs="Times New Roman" w:eastAsia="Times New Roman" w:hAnsi="Times New Roman"/>
          <w:color w:val="1F2937"/>
          <w:sz w:val="22"/>
          <w:szCs w:val="22"/>
        </w:rPr>
        <w:t xml:space="preserve">Potentiel de rendement supérieur sur longue durée (mais non garanti)</w:t>
      </w:r>
    </w:p>
    <w:p>
      <w:pPr>
        <w:pStyle w:val="ListParagraph"/>
        <w:numPr>
          <w:ilvl w:val="0"/>
          <w:numId w:val="1"/>
        </w:numPr>
        <w:spacing w:after="80"/>
      </w:pPr>
      <w:r>
        <w:rPr>
          <w:rFonts w:ascii="Times New Roman" w:cs="Times New Roman" w:eastAsia="Times New Roman" w:hAnsi="Times New Roman"/>
          <w:color w:val="1F2937"/>
          <w:sz w:val="22"/>
          <w:szCs w:val="22"/>
        </w:rPr>
        <w:t xml:space="preserve">Large gamme : UC actions mondiales, UC obligataires, UC immobilières (SCPI)…</w:t>
      </w:r>
    </w:p>
    <w:p>
      <w:pPr>
        <w:pStyle w:val="ListParagraph"/>
        <w:numPr>
          <w:ilvl w:val="0"/>
          <w:numId w:val="1"/>
        </w:numPr>
        <w:spacing w:after="80"/>
      </w:pPr>
      <w:r>
        <w:rPr>
          <w:rFonts w:ascii="Times New Roman" w:cs="Times New Roman" w:eastAsia="Times New Roman" w:hAnsi="Times New Roman"/>
          <w:color w:val="1F2937"/>
          <w:sz w:val="22"/>
          <w:szCs w:val="22"/>
        </w:rPr>
        <w:t xml:space="preserve">L'assureur garantit le nombre d'unités de compte, pas leur valeur</w:t>
      </w:r>
    </w:p>
    <w:p>
      <w:pPr>
        <w:spacing w:after="80"/>
      </w:pPr>
    </w:p>
    <w:p>
      <w:pPr>
        <w:spacing w:after="100" w:before="200"/>
      </w:pPr>
      <w:r>
        <w:rPr>
          <w:rFonts w:ascii="Times New Roman" w:cs="Times New Roman" w:eastAsia="Times New Roman" w:hAnsi="Times New Roman"/>
          <w:b/>
          <w:bCs/>
          <w:color w:val="1F2937"/>
          <w:sz w:val="26"/>
          <w:szCs w:val="26"/>
        </w:rPr>
        <w:t xml:space="preserve">4. Les contrats multisupports</w:t>
      </w:r>
    </w:p>
    <w:p>
      <w:pPr>
        <w:spacing w:after="120"/>
      </w:pPr>
      <w:r>
        <w:rPr>
          <w:rFonts w:ascii="Times New Roman" w:cs="Times New Roman" w:eastAsia="Times New Roman" w:hAnsi="Times New Roman"/>
          <w:color w:val="1F2937"/>
          <w:sz w:val="22"/>
          <w:szCs w:val="22"/>
        </w:rPr>
        <w:t xml:space="preserve">La plupart des contrats actuels permettent de panacher fonds euros et unités de compte. Tu choisis ta répartition selon ton profil et tu peux la modifier via des arbitrages (parfois gratuits, parfois facturés). Pour un horizon 7-8 ans, une allocation mixte (ex. 40-60 % fonds euros + 40-60 % UC diversifiées) est souvent évoquée dans la littérature, mais la répartition exacte dépend de ton profil de risque personnel — à définir avec un professionnel agréé.</w:t>
      </w:r>
    </w:p>
    <w:p>
      <w:pPr>
        <w:spacing w:after="80"/>
      </w:pPr>
    </w:p>
    <w:p>
      <w:pPr>
        <w:spacing w:after="100" w:before="200"/>
      </w:pPr>
      <w:r>
        <w:rPr>
          <w:rFonts w:ascii="Times New Roman" w:cs="Times New Roman" w:eastAsia="Times New Roman" w:hAnsi="Times New Roman"/>
          <w:b/>
          <w:bCs/>
          <w:color w:val="1F2937"/>
          <w:sz w:val="26"/>
          <w:szCs w:val="26"/>
        </w:rPr>
        <w:t xml:space="preserve">5. La fiscalité des rachats — tableau récapitulatif</w:t>
      </w:r>
    </w:p>
    <w:p>
      <w:pPr>
        <w:spacing w:after="120"/>
      </w:pPr>
      <w:r>
        <w:rPr>
          <w:rFonts w:ascii="Times New Roman" w:cs="Times New Roman" w:eastAsia="Times New Roman" w:hAnsi="Times New Roman"/>
          <w:color w:val="1F2937"/>
          <w:sz w:val="22"/>
          <w:szCs w:val="22"/>
        </w:rPr>
        <w:t xml:space="preserve">La fiscalité s'applique uniquement sur les gains (intérêts, plus-values), pas sur les versements remboursés. Chaque retrait est composé d'une part de capital et d'une part de gains, calculées proportionnellement.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Ancienneté</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Taux PFU sur les gains</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Abattement annuel</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Prélèvements sociaux</w:t>
            </w:r>
          </w:p>
        </w:tc>
      </w:tr>
      <w:tr>
        <w:tc>
          <w:p>
            <w:pPr>
              <w:spacing w:after="40" w:before="40"/>
              <w:jc w:val="center"/>
            </w:pPr>
            <w:r>
              <w:rPr>
                <w:rFonts w:ascii="Times New Roman" w:cs="Times New Roman" w:eastAsia="Times New Roman" w:hAnsi="Times New Roman"/>
                <w:b w:val="false"/>
                <w:bCs w:val="false"/>
                <w:color w:val="1F2937"/>
                <w:sz w:val="18"/>
                <w:szCs w:val="18"/>
              </w:rPr>
              <w:t xml:space="preserve">&lt; 4 ans</w:t>
            </w:r>
          </w:p>
        </w:tc>
        <w:tc>
          <w:p>
            <w:pPr>
              <w:spacing w:after="40" w:before="40"/>
              <w:jc w:val="center"/>
            </w:pPr>
            <w:r>
              <w:rPr>
                <w:rFonts w:ascii="Times New Roman" w:cs="Times New Roman" w:eastAsia="Times New Roman" w:hAnsi="Times New Roman"/>
                <w:b w:val="false"/>
                <w:bCs w:val="false"/>
                <w:color w:val="1F2937"/>
                <w:sz w:val="18"/>
                <w:szCs w:val="18"/>
              </w:rPr>
              <w:t xml:space="preserve">12,8 %</w:t>
            </w:r>
          </w:p>
        </w:tc>
        <w:tc>
          <w:p>
            <w:pPr>
              <w:spacing w:after="40" w:before="40"/>
              <w:jc w:val="center"/>
            </w:pPr>
            <w:r>
              <w:rPr>
                <w:rFonts w:ascii="Times New Roman" w:cs="Times New Roman" w:eastAsia="Times New Roman" w:hAnsi="Times New Roman"/>
                <w:b w:val="false"/>
                <w:bCs w:val="false"/>
                <w:color w:val="1F2937"/>
                <w:sz w:val="18"/>
                <w:szCs w:val="18"/>
              </w:rPr>
              <w:t xml:space="preserve">Aucun</w:t>
            </w:r>
          </w:p>
        </w:tc>
        <w:tc>
          <w:p>
            <w:pPr>
              <w:spacing w:after="40" w:before="40"/>
              <w:jc w:val="center"/>
            </w:pPr>
            <w:r>
              <w:rPr>
                <w:rFonts w:ascii="Times New Roman" w:cs="Times New Roman" w:eastAsia="Times New Roman" w:hAnsi="Times New Roman"/>
                <w:b w:val="false"/>
                <w:bCs w:val="false"/>
                <w:color w:val="1F2937"/>
                <w:sz w:val="18"/>
                <w:szCs w:val="18"/>
              </w:rPr>
              <w:t xml:space="preserve">17,2 % (2025)
18,6 % à partir de 2026</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4 à 8 ans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12,8 %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Aucun</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17,2 % (2025)</w:t>
            </w:r>
          </w:p>
        </w:tc>
      </w:tr>
      <w:tr>
        <w:tc>
          <w:p>
            <w:pPr>
              <w:spacing w:after="40" w:before="40"/>
              <w:jc w:val="center"/>
            </w:pPr>
            <w:r>
              <w:rPr>
                <w:rFonts w:ascii="Times New Roman" w:cs="Times New Roman" w:eastAsia="Times New Roman" w:hAnsi="Times New Roman"/>
                <w:b w:val="false"/>
                <w:bCs w:val="false"/>
                <w:color w:val="1F2937"/>
                <w:sz w:val="18"/>
                <w:szCs w:val="18"/>
              </w:rPr>
              <w:t xml:space="preserve">&gt; 8 ans — versements ≤ 150 000 €</w:t>
            </w:r>
          </w:p>
        </w:tc>
        <w:tc>
          <w:p>
            <w:pPr>
              <w:spacing w:after="40" w:before="40"/>
              <w:jc w:val="center"/>
            </w:pPr>
            <w:r>
              <w:rPr>
                <w:rFonts w:ascii="Times New Roman" w:cs="Times New Roman" w:eastAsia="Times New Roman" w:hAnsi="Times New Roman"/>
                <w:b w:val="false"/>
                <w:bCs w:val="false"/>
                <w:color w:val="1F2937"/>
                <w:sz w:val="18"/>
                <w:szCs w:val="18"/>
              </w:rPr>
              <w:t xml:space="preserve">7,5 %</w:t>
            </w:r>
          </w:p>
        </w:tc>
        <w:tc>
          <w:p>
            <w:pPr>
              <w:spacing w:after="40" w:before="40"/>
              <w:jc w:val="center"/>
            </w:pPr>
            <w:r>
              <w:rPr>
                <w:rFonts w:ascii="Times New Roman" w:cs="Times New Roman" w:eastAsia="Times New Roman" w:hAnsi="Times New Roman"/>
                <w:b w:val="false"/>
                <w:bCs w:val="false"/>
                <w:color w:val="1F2937"/>
                <w:sz w:val="18"/>
                <w:szCs w:val="18"/>
              </w:rPr>
              <w:t xml:space="preserve">4 600 € / personne
9 200 € / couple</w:t>
            </w:r>
          </w:p>
        </w:tc>
        <w:tc>
          <w:p>
            <w:pPr>
              <w:spacing w:after="40" w:before="40"/>
              <w:jc w:val="center"/>
            </w:pPr>
            <w:r>
              <w:rPr>
                <w:rFonts w:ascii="Times New Roman" w:cs="Times New Roman" w:eastAsia="Times New Roman" w:hAnsi="Times New Roman"/>
                <w:b w:val="false"/>
                <w:bCs w:val="false"/>
                <w:color w:val="1F2937"/>
                <w:sz w:val="18"/>
                <w:szCs w:val="18"/>
              </w:rPr>
              <w:t xml:space="preserve">17,2 % (2025)
18,6 % à partir de 2026</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&gt; 8 ans — versements &gt; 150 000 €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12,8 %</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4 600 € / personne
9 200 € / couple</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17,2 % (2025)</w:t>
            </w:r>
          </w:p>
        </w:tc>
      </w:tr>
    </w:tbl>
    <w:p>
      <w:pPr>
        <w:spacing w:after="80"/>
      </w:pPr>
    </w:p>
    <w:p>
      <w:pPr>
        <w:spacing w:after="120"/>
      </w:pPr>
      <w:r>
        <w:rPr>
          <w:rFonts w:ascii="Times New Roman" w:cs="Times New Roman" w:eastAsia="Times New Roman" w:hAnsi="Times New Roman"/>
          <w:color w:val="1F2937"/>
          <w:sz w:val="22"/>
          <w:szCs w:val="22"/>
        </w:rPr>
        <w:t xml:space="preserve">Sources : impots.gouv.fr / economie.gouv.fr / lafinancepourtous.com</w:t>
      </w:r>
    </w:p>
    <w:p>
      <w:pPr>
        <w:spacing w:after="120" w:before="60"/>
        <w:ind w:left="360"/>
      </w:pPr>
      <w:r>
        <w:rPr>
          <w:rFonts w:ascii="Times New Roman" w:cs="Times New Roman" w:eastAsia="Times New Roman" w:hAnsi="Times New Roman"/>
          <w:i/>
          <w:iCs/>
          <w:color w:val="1B3A6B"/>
          <w:sz w:val="22"/>
          <w:szCs w:val="22"/>
        </w:rPr>
        <w:t xml:space="preserve">Note importante sur les prélèvements sociaux : à compter du 1er janvier 2026, le taux des prélèvements sociaux passe de 17,2 % à 18,6 % (source : WebSearch sur economie.gouv.fr, juillet 2026). Vérifie auprès de ton assureur ou d'un CGP la date d'entrée en vigueur et ses effets sur tes contrats.</w:t>
      </w:r>
    </w:p>
    <w:p>
      <w:pPr>
        <w:spacing w:after="80"/>
      </w:pPr>
    </w:p>
    <w:p>
      <w:pPr>
        <w:spacing w:after="100" w:before="200"/>
      </w:pPr>
      <w:r>
        <w:rPr>
          <w:rFonts w:ascii="Times New Roman" w:cs="Times New Roman" w:eastAsia="Times New Roman" w:hAnsi="Times New Roman"/>
          <w:b/>
          <w:bCs/>
          <w:color w:val="1F2937"/>
          <w:sz w:val="26"/>
          <w:szCs w:val="26"/>
        </w:rPr>
        <w:t xml:space="preserve">6. La clause bénéficiaire et la transmission</w:t>
      </w:r>
    </w:p>
    <w:p>
      <w:pPr>
        <w:spacing w:after="120"/>
      </w:pPr>
      <w:r>
        <w:rPr>
          <w:rFonts w:ascii="Times New Roman" w:cs="Times New Roman" w:eastAsia="Times New Roman" w:hAnsi="Times New Roman"/>
          <w:color w:val="1F2937"/>
          <w:sz w:val="22"/>
          <w:szCs w:val="22"/>
        </w:rPr>
        <w:t xml:space="preserve">La clause bénéficiaire désigne la ou les personnes qui percevront le capital en cas de décès de l'assuré. Elle constitue l'un des atouts majeurs de l'assurance-vie : les capitaux transmis n'entrent pas dans la succession ordinaire.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tcPr>
          <w:p>
            <w:pPr>
              <w:spacing w:after="40" w:before="40"/>
              <w:jc w:val="center"/>
            </w:pPr>
            <w:r>
              <w:rPr>
                <w:rFonts w:ascii="Times New Roman" w:cs="Times New Roman" w:eastAsia="Times New Roman" w:hAnsi="Times New Roman"/>
                <w:b/>
                <w:bCs/>
                <w:color w:val="FFFFFF"/>
                <w:sz w:val="18"/>
                <w:szCs w:val="18"/>
              </w:rPr>
              <w:t xml:space="preserve">Âge des versements</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Abattement par bénéficiaire</w:t>
            </w:r>
          </w:p>
        </w:tc>
        <w:tc>
          <w:tcPr>
            <w:shd w:color="1B3A6B" w:val="solid"/>
          </w:tcPr>
          <w:p>
            <w:pPr>
              <w:spacing w:after="40" w:before="40"/>
              <w:jc w:val="center"/>
            </w:pPr>
            <w:r>
              <w:rPr>
                <w:rFonts w:ascii="Times New Roman" w:cs="Times New Roman" w:eastAsia="Times New Roman" w:hAnsi="Times New Roman"/>
                <w:b/>
                <w:bCs/>
                <w:color w:val="FFFFFF"/>
                <w:sz w:val="18"/>
                <w:szCs w:val="18"/>
              </w:rPr>
              <w:t xml:space="preserve">Taux au-delà</w:t>
            </w:r>
          </w:p>
        </w:tc>
      </w:tr>
      <w:tr>
        <w:tc>
          <w:p>
            <w:pPr>
              <w:spacing w:after="40" w:before="40"/>
              <w:jc w:val="center"/>
            </w:pPr>
            <w:r>
              <w:rPr>
                <w:rFonts w:ascii="Times New Roman" w:cs="Times New Roman" w:eastAsia="Times New Roman" w:hAnsi="Times New Roman"/>
                <w:b w:val="false"/>
                <w:bCs w:val="false"/>
                <w:color w:val="1F2937"/>
                <w:sz w:val="18"/>
                <w:szCs w:val="18"/>
              </w:rPr>
              <w:t xml:space="preserve">Avant 70 ans</w:t>
            </w:r>
          </w:p>
        </w:tc>
        <w:tc>
          <w:p>
            <w:pPr>
              <w:spacing w:after="40" w:before="40"/>
              <w:jc w:val="center"/>
            </w:pPr>
            <w:r>
              <w:rPr>
                <w:rFonts w:ascii="Times New Roman" w:cs="Times New Roman" w:eastAsia="Times New Roman" w:hAnsi="Times New Roman"/>
                <w:b w:val="false"/>
                <w:bCs w:val="false"/>
                <w:color w:val="1F2937"/>
                <w:sz w:val="18"/>
                <w:szCs w:val="18"/>
              </w:rPr>
              <w:t xml:space="preserve">152 500 €</w:t>
            </w:r>
          </w:p>
        </w:tc>
        <w:tc>
          <w:p>
            <w:pPr>
              <w:spacing w:after="40" w:before="40"/>
              <w:jc w:val="center"/>
            </w:pPr>
            <w:r>
              <w:rPr>
                <w:rFonts w:ascii="Times New Roman" w:cs="Times New Roman" w:eastAsia="Times New Roman" w:hAnsi="Times New Roman"/>
                <w:b w:val="false"/>
                <w:bCs w:val="false"/>
                <w:color w:val="1F2937"/>
                <w:sz w:val="18"/>
                <w:szCs w:val="18"/>
              </w:rPr>
              <w:t xml:space="preserve">20 % (jusqu'à 700 000 €) puis 31,25 %</w:t>
            </w:r>
          </w:p>
        </w:tc>
      </w:tr>
      <w:tr>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Après 70 ans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30 500 € (tous bénéficiaires confondus)</w:t>
            </w:r>
          </w:p>
        </w:tc>
        <w:tc>
          <w:tcPr>
            <w:shd w:color="EEF2F7" w:val="solid"/>
          </w:tcPr>
          <w:p>
            <w:pPr>
              <w:spacing w:after="40" w:before="40"/>
              <w:jc w:val="center"/>
            </w:pPr>
            <w:r>
              <w:rPr>
                <w:rFonts w:ascii="Times New Roman" w:cs="Times New Roman" w:eastAsia="Times New Roman" w:hAnsi="Times New Roman"/>
                <w:b w:val="false"/>
                <w:bCs w:val="false"/>
                <w:color w:val="1F2937"/>
                <w:sz w:val="18"/>
                <w:szCs w:val="18"/>
              </w:rPr>
              <w:t xml:space="preserve">Droits de succession ordinaires</w:t>
            </w:r>
          </w:p>
        </w:tc>
      </w:tr>
      <w:tr>
        <w:tc>
          <w:p>
            <w:pPr>
              <w:spacing w:after="40" w:before="40"/>
              <w:jc w:val="center"/>
            </w:pPr>
            <w:r>
              <w:rPr>
                <w:rFonts w:ascii="Times New Roman" w:cs="Times New Roman" w:eastAsia="Times New Roman" w:hAnsi="Times New Roman"/>
                <w:b w:val="false"/>
                <w:bCs w:val="false"/>
                <w:color w:val="1F2937"/>
                <w:sz w:val="18"/>
                <w:szCs w:val="18"/>
              </w:rPr>
              <w:t xml:space="preserve">Conjoint / PACS</w:t>
            </w:r>
          </w:p>
        </w:tc>
        <w:tc>
          <w:p>
            <w:pPr>
              <w:spacing w:after="40" w:before="40"/>
              <w:jc w:val="center"/>
            </w:pPr>
            <w:r>
              <w:rPr>
                <w:rFonts w:ascii="Times New Roman" w:cs="Times New Roman" w:eastAsia="Times New Roman" w:hAnsi="Times New Roman"/>
                <w:b w:val="false"/>
                <w:bCs w:val="false"/>
                <w:color w:val="1F2937"/>
                <w:sz w:val="18"/>
                <w:szCs w:val="18"/>
              </w:rPr>
              <w:t xml:space="preserve">Exonération totale</w:t>
            </w:r>
          </w:p>
        </w:tc>
        <w:tc>
          <w:p>
            <w:pPr>
              <w:spacing w:after="40" w:before="40"/>
              <w:jc w:val="center"/>
            </w:pPr>
            <w:r>
              <w:rPr>
                <w:rFonts w:ascii="Times New Roman" w:cs="Times New Roman" w:eastAsia="Times New Roman" w:hAnsi="Times New Roman"/>
                <w:b w:val="false"/>
                <w:bCs w:val="false"/>
                <w:color w:val="1F2937"/>
                <w:sz w:val="18"/>
                <w:szCs w:val="18"/>
              </w:rPr>
              <w:t xml:space="preserve">—</w:t>
            </w:r>
          </w:p>
        </w:tc>
      </w:tr>
    </w:tbl>
    <w:p>
      <w:pPr>
        <w:spacing w:after="80"/>
      </w:pPr>
    </w:p>
    <w:p>
      <w:pPr>
        <w:spacing w:after="120"/>
      </w:pPr>
      <w:r>
        <w:rPr>
          <w:rFonts w:ascii="Times New Roman" w:cs="Times New Roman" w:eastAsia="Times New Roman" w:hAnsi="Times New Roman"/>
          <w:color w:val="1F2937"/>
          <w:sz w:val="22"/>
          <w:szCs w:val="22"/>
        </w:rPr>
        <w:t xml:space="preserve">Sources : impots.gouv.fr / lafinancepourtous.com</w:t>
      </w:r>
    </w:p>
    <w:p>
      <w:pPr>
        <w:pStyle w:val="ListParagraph"/>
        <w:numPr>
          <w:ilvl w:val="0"/>
          <w:numId w:val="1"/>
        </w:numPr>
        <w:spacing w:after="80"/>
      </w:pPr>
      <w:r>
        <w:rPr>
          <w:rFonts w:ascii="Times New Roman" w:cs="Times New Roman" w:eastAsia="Times New Roman" w:hAnsi="Times New Roman"/>
          <w:color w:val="1F2937"/>
          <w:sz w:val="22"/>
          <w:szCs w:val="22"/>
        </w:rPr>
        <w:t xml:space="preserve">Attention si les versements sont effectués après 70 ans : l'abattement est réduit à 30 500 € global (tous bénéficiaires confondus), et le reste est réintégré dans la succession</w:t>
      </w:r>
    </w:p>
    <w:p>
      <w:pPr>
        <w:pStyle w:val="ListParagraph"/>
        <w:numPr>
          <w:ilvl w:val="0"/>
          <w:numId w:val="1"/>
        </w:numPr>
        <w:spacing w:after="80"/>
      </w:pPr>
      <w:r>
        <w:rPr>
          <w:rFonts w:ascii="Times New Roman" w:cs="Times New Roman" w:eastAsia="Times New Roman" w:hAnsi="Times New Roman"/>
          <w:color w:val="1F2937"/>
          <w:sz w:val="22"/>
          <w:szCs w:val="22"/>
        </w:rPr>
        <w:t xml:space="preserve">Rédaction de la clause : soyez précis (nom, prénom, date et lieu de naissance) et prévoyez des bénéficiaires de second rang ('à défaut, mes enfants…')</w:t>
      </w:r>
    </w:p>
    <w:p>
      <w:pPr>
        <w:pStyle w:val="ListParagraph"/>
        <w:numPr>
          <w:ilvl w:val="0"/>
          <w:numId w:val="1"/>
        </w:numPr>
        <w:spacing w:after="80"/>
      </w:pPr>
      <w:r>
        <w:rPr>
          <w:rFonts w:ascii="Times New Roman" w:cs="Times New Roman" w:eastAsia="Times New Roman" w:hAnsi="Times New Roman"/>
          <w:color w:val="1F2937"/>
          <w:sz w:val="22"/>
          <w:szCs w:val="22"/>
        </w:rPr>
        <w:t xml:space="preserve">Risque de la clause trop vague : en cas de décès du bénéficiaire unique, les capitaux peuvent réintégrer la succession</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Pratique (80 %) — Exercices d'apprentissage actif</w:t>
      </w:r>
    </w:p>
    <w:p>
      <w:pPr>
        <w:spacing w:after="100" w:before="200"/>
      </w:pPr>
      <w:r>
        <w:rPr>
          <w:rFonts w:ascii="Times New Roman" w:cs="Times New Roman" w:eastAsia="Times New Roman" w:hAnsi="Times New Roman"/>
          <w:b/>
          <w:bCs/>
          <w:color w:val="1F2937"/>
          <w:sz w:val="26"/>
          <w:szCs w:val="26"/>
        </w:rPr>
        <w:t xml:space="preserve">Exercice 1 — Identifier fonds euros vs UC</w:t>
      </w:r>
    </w:p>
    <w:p>
      <w:pPr>
        <w:spacing w:after="120"/>
      </w:pPr>
      <w:r>
        <w:rPr>
          <w:rFonts w:ascii="Times New Roman" w:cs="Times New Roman" w:eastAsia="Times New Roman" w:hAnsi="Times New Roman"/>
          <w:color w:val="1F2937"/>
          <w:sz w:val="22"/>
          <w:szCs w:val="22"/>
        </w:rPr>
        <w:t xml:space="preserve">Lis les affirmations suivantes et indique si elles concernent le fonds euros (FE), les unités de compte (UC), ou les deux (FE+UC)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tcPr>
          <w:p>
            <w:pPr>
              <w:jc w:val="center"/>
            </w:pPr>
            <w:r>
              <w:rPr>
                <w:rFonts w:ascii="Times New Roman" w:cs="Times New Roman" w:eastAsia="Times New Roman" w:hAnsi="Times New Roman"/>
                <w:b/>
                <w:bCs/>
                <w:color w:val="FFFFFF"/>
                <w:sz w:val="18"/>
                <w:szCs w:val="18"/>
              </w:rPr>
              <w:t xml:space="preserve">Affirmation</w:t>
            </w:r>
          </w:p>
        </w:tc>
        <w:tc>
          <w:tcPr>
            <w:shd w:color="1B3A6B" w:val="solid"/>
          </w:tcPr>
          <w:p>
            <w:pPr>
              <w:jc w:val="center"/>
            </w:pPr>
            <w:r>
              <w:rPr>
                <w:rFonts w:ascii="Times New Roman" w:cs="Times New Roman" w:eastAsia="Times New Roman" w:hAnsi="Times New Roman"/>
                <w:b/>
                <w:bCs/>
                <w:color w:val="FFFFFF"/>
                <w:sz w:val="18"/>
                <w:szCs w:val="18"/>
              </w:rPr>
              <w:t xml:space="preserve">Ta réponse</w:t>
            </w:r>
          </w:p>
        </w:tc>
        <w:tc>
          <w:tcPr>
            <w:shd w:color="1B3A6B" w:val="solid"/>
          </w:tcPr>
          <w:p>
            <w:pPr>
              <w:jc w:val="center"/>
            </w:pPr>
            <w:r>
              <w:rPr>
                <w:rFonts w:ascii="Times New Roman" w:cs="Times New Roman" w:eastAsia="Times New Roman" w:hAnsi="Times New Roman"/>
                <w:b/>
                <w:bCs/>
                <w:color w:val="FFFFFF"/>
                <w:sz w:val="18"/>
                <w:szCs w:val="18"/>
              </w:rPr>
              <w:t xml:space="preserve">Corrigé</w:t>
            </w:r>
          </w:p>
        </w:tc>
      </w:tr>
      <w:tr>
        <w:tc>
          <w:p>
            <w:r>
              <w:rPr>
                <w:rFonts w:ascii="Times New Roman" w:cs="Times New Roman" w:eastAsia="Times New Roman" w:hAnsi="Times New Roman"/>
                <w:sz w:val="18"/>
                <w:szCs w:val="18"/>
              </w:rPr>
              <w:t xml:space="preserve">Le capital ne peut pas diminuer</w:t>
            </w:r>
          </w:p>
        </w:tc>
        <w:tc>
          <w:p/>
        </w:tc>
        <w:tc>
          <w:tcPr>
            <w:shd w:color="EEF2F7" w:val="solid"/>
          </w:tcPr>
          <w:p>
            <w:r>
              <w:rPr>
                <w:rFonts w:ascii="Times New Roman" w:cs="Times New Roman" w:eastAsia="Times New Roman" w:hAnsi="Times New Roman"/>
                <w:sz w:val="18"/>
                <w:szCs w:val="18"/>
              </w:rPr>
              <w:t xml:space="preserve">FE — garantie de capital</w:t>
            </w:r>
          </w:p>
        </w:tc>
      </w:tr>
      <w:tr>
        <w:tc>
          <w:p>
            <w:r>
              <w:rPr>
                <w:rFonts w:ascii="Times New Roman" w:cs="Times New Roman" w:eastAsia="Times New Roman" w:hAnsi="Times New Roman"/>
                <w:sz w:val="18"/>
                <w:szCs w:val="18"/>
              </w:rPr>
              <w:t xml:space="preserve">Je peux investir dans des actions mondiales</w:t>
            </w:r>
          </w:p>
        </w:tc>
        <w:tc>
          <w:p/>
        </w:tc>
        <w:tc>
          <w:tcPr>
            <w:shd w:color="EEF2F7" w:val="solid"/>
          </w:tcPr>
          <w:p>
            <w:r>
              <w:rPr>
                <w:rFonts w:ascii="Times New Roman" w:cs="Times New Roman" w:eastAsia="Times New Roman" w:hAnsi="Times New Roman"/>
                <w:sz w:val="18"/>
                <w:szCs w:val="18"/>
              </w:rPr>
              <w:t xml:space="preserve">UC — via des OPCVM actions</w:t>
            </w:r>
          </w:p>
        </w:tc>
      </w:tr>
      <w:tr>
        <w:tc>
          <w:p>
            <w:r>
              <w:rPr>
                <w:rFonts w:ascii="Times New Roman" w:cs="Times New Roman" w:eastAsia="Times New Roman" w:hAnsi="Times New Roman"/>
                <w:sz w:val="18"/>
                <w:szCs w:val="18"/>
              </w:rPr>
              <w:t xml:space="preserve">Je peux subir une perte en capital</w:t>
            </w:r>
          </w:p>
        </w:tc>
        <w:tc>
          <w:p/>
        </w:tc>
        <w:tc>
          <w:tcPr>
            <w:shd w:color="EEF2F7" w:val="solid"/>
          </w:tcPr>
          <w:p>
            <w:r>
              <w:rPr>
                <w:rFonts w:ascii="Times New Roman" w:cs="Times New Roman" w:eastAsia="Times New Roman" w:hAnsi="Times New Roman"/>
                <w:sz w:val="18"/>
                <w:szCs w:val="18"/>
              </w:rPr>
              <w:t xml:space="preserve">UC — les cours fluctuent</w:t>
            </w:r>
          </w:p>
        </w:tc>
      </w:tr>
      <w:tr>
        <w:tc>
          <w:p>
            <w:r>
              <w:rPr>
                <w:rFonts w:ascii="Times New Roman" w:cs="Times New Roman" w:eastAsia="Times New Roman" w:hAnsi="Times New Roman"/>
                <w:sz w:val="18"/>
                <w:szCs w:val="18"/>
              </w:rPr>
              <w:t xml:space="preserve">Des prélèvements sociaux s'appliquent sur mes gains</w:t>
            </w:r>
          </w:p>
        </w:tc>
        <w:tc>
          <w:p/>
        </w:tc>
        <w:tc>
          <w:tcPr>
            <w:shd w:color="EEF2F7" w:val="solid"/>
          </w:tcPr>
          <w:p>
            <w:r>
              <w:rPr>
                <w:rFonts w:ascii="Times New Roman" w:cs="Times New Roman" w:eastAsia="Times New Roman" w:hAnsi="Times New Roman"/>
                <w:sz w:val="18"/>
                <w:szCs w:val="18"/>
              </w:rPr>
              <w:t xml:space="preserve">FE+UC — les deux supports y sont soumis</w:t>
            </w:r>
          </w:p>
        </w:tc>
      </w:tr>
      <w:tr>
        <w:tc>
          <w:p>
            <w:r>
              <w:rPr>
                <w:rFonts w:ascii="Times New Roman" w:cs="Times New Roman" w:eastAsia="Times New Roman" w:hAnsi="Times New Roman"/>
                <w:sz w:val="18"/>
                <w:szCs w:val="18"/>
              </w:rPr>
              <w:t xml:space="preserve">Les gains s'accumulent sans impôt annuel sur le revenu</w:t>
            </w:r>
          </w:p>
        </w:tc>
        <w:tc>
          <w:p/>
        </w:tc>
        <w:tc>
          <w:tcPr>
            <w:shd w:color="EEF2F7" w:val="solid"/>
          </w:tcPr>
          <w:p>
            <w:r>
              <w:rPr>
                <w:rFonts w:ascii="Times New Roman" w:cs="Times New Roman" w:eastAsia="Times New Roman" w:hAnsi="Times New Roman"/>
                <w:sz w:val="18"/>
                <w:szCs w:val="18"/>
              </w:rPr>
              <w:t xml:space="preserve">FE+UC — fiscalité différée jusqu'au rachat (hors PS annuels sur FE)</w:t>
            </w:r>
          </w:p>
        </w:tc>
      </w:tr>
    </w:tbl>
    <w:p>
      <w:pPr>
        <w:spacing w:after="80"/>
      </w:pPr>
    </w:p>
    <w:p>
      <w:pPr>
        <w:spacing w:after="100" w:before="200"/>
      </w:pPr>
      <w:r>
        <w:rPr>
          <w:rFonts w:ascii="Times New Roman" w:cs="Times New Roman" w:eastAsia="Times New Roman" w:hAnsi="Times New Roman"/>
          <w:b/>
          <w:bCs/>
          <w:color w:val="1F2937"/>
          <w:sz w:val="26"/>
          <w:szCs w:val="26"/>
        </w:rPr>
        <w:t xml:space="preserve">Exercice 2 — Calcul de l'impôt sur un rachat partiel</w:t>
      </w:r>
    </w:p>
    <w:p>
      <w:pPr>
        <w:spacing w:after="120"/>
      </w:pPr>
      <w:r>
        <w:rPr>
          <w:rFonts w:ascii="Times New Roman" w:cs="Times New Roman" w:eastAsia="Times New Roman" w:hAnsi="Times New Roman"/>
          <w:color w:val="1F2937"/>
          <w:sz w:val="22"/>
          <w:szCs w:val="22"/>
        </w:rPr>
        <w:t xml:space="preserve">Scénario (fictif, à titre pédagogique)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Contrat d'assurance-vie multisupport ouvert depuis 10 ans</w:t>
      </w:r>
    </w:p>
    <w:p>
      <w:pPr>
        <w:pStyle w:val="ListParagraph"/>
        <w:numPr>
          <w:ilvl w:val="0"/>
          <w:numId w:val="1"/>
        </w:numPr>
        <w:spacing w:after="80"/>
      </w:pPr>
      <w:r>
        <w:rPr>
          <w:rFonts w:ascii="Times New Roman" w:cs="Times New Roman" w:eastAsia="Times New Roman" w:hAnsi="Times New Roman"/>
          <w:color w:val="1F2937"/>
          <w:sz w:val="22"/>
          <w:szCs w:val="22"/>
        </w:rPr>
        <w:t xml:space="preserve">Total des versements effectués : 80 000 €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Valeur du contrat aujourd'hui : 100 000 €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Gains latents totaux : 20 000 €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effectues un rachat partiel de 10 000 €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es célibataire</w:t>
      </w:r>
    </w:p>
    <w:p>
      <w:pPr>
        <w:spacing w:after="80"/>
      </w:pPr>
    </w:p>
    <w:p>
      <w:pPr>
        <w:spacing w:after="120"/>
      </w:pPr>
      <w:r>
        <w:rPr>
          <w:rFonts w:ascii="Times New Roman" w:cs="Times New Roman" w:eastAsia="Times New Roman" w:hAnsi="Times New Roman"/>
          <w:color w:val="1F2937"/>
          <w:sz w:val="22"/>
          <w:szCs w:val="22"/>
        </w:rPr>
        <w:t xml:space="preserve">Question 1 : Quelle part de ce rachat de 10 000 € représente des gains imposables ?</w:t>
      </w:r>
    </w:p>
    <w:p>
      <w:pPr>
        <w:spacing w:after="120"/>
      </w:pPr>
      <w:r>
        <w:rPr>
          <w:rFonts w:ascii="Times New Roman" w:cs="Times New Roman" w:eastAsia="Times New Roman" w:hAnsi="Times New Roman"/>
          <w:color w:val="1F2937"/>
          <w:sz w:val="22"/>
          <w:szCs w:val="22"/>
        </w:rPr>
        <w:t xml:space="preserve">Question 2 : Y a-t-il de l'impôt sur le revenu à payer sur ces gains ? Calcule le montant.</w:t>
      </w:r>
    </w:p>
    <w:p>
      <w:pPr>
        <w:spacing w:after="120"/>
      </w:pPr>
      <w:r>
        <w:rPr>
          <w:rFonts w:ascii="Times New Roman" w:cs="Times New Roman" w:eastAsia="Times New Roman" w:hAnsi="Times New Roman"/>
          <w:color w:val="1F2937"/>
          <w:sz w:val="22"/>
          <w:szCs w:val="22"/>
        </w:rPr>
        <w:t xml:space="preserve">Question 3 : Y a-t-il des prélèvements sociaux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Formule : Gains imposables dans le rachat = (Rachat × Gains totaux) / Valeur totale du contrat
Corrigé :
1. Part de gains = 10 000 × (20 000 / 100 000) = 2 000 €
2. Contrat &gt; 8 ans, versements ≤ 150 000 € → PFU à 7,5 %. Mais abattement annuel de 4 600 € (célibataire). Ici 2 000 € &lt; 4 600 € → 0 € d'impôt sur le revenu grâce à l'abattement.
3. Prélèvements sociaux : 2 000 × 17,2 % = 344 € (taux 2025). Ils s'appliquent même si l'abattement efface l'IR.
➜ Impôt total sur ce rachat = 0 + 344 = 344 €</w:t>
            </w:r>
          </w:p>
        </w:tc>
      </w:tr>
    </w:tbl>
    <w:p>
      <w:pPr>
        <w:spacing w:after="80"/>
      </w:pPr>
    </w:p>
    <w:p>
      <w:pPr>
        <w:spacing w:after="100" w:before="200"/>
      </w:pPr>
      <w:r>
        <w:rPr>
          <w:rFonts w:ascii="Times New Roman" w:cs="Times New Roman" w:eastAsia="Times New Roman" w:hAnsi="Times New Roman"/>
          <w:b/>
          <w:bCs/>
          <w:color w:val="1F2937"/>
          <w:sz w:val="26"/>
          <w:szCs w:val="26"/>
        </w:rPr>
        <w:t xml:space="preserve">Exercice 3 — La clause bénéficiaire : cas pratiques</w:t>
      </w:r>
    </w:p>
    <w:p>
      <w:pPr>
        <w:spacing w:after="120"/>
      </w:pPr>
      <w:r>
        <w:rPr>
          <w:rFonts w:ascii="Times New Roman" w:cs="Times New Roman" w:eastAsia="Times New Roman" w:hAnsi="Times New Roman"/>
          <w:color w:val="1F2937"/>
          <w:sz w:val="22"/>
          <w:szCs w:val="22"/>
        </w:rPr>
        <w:t xml:space="preserve">Analyse les 3 situations suivantes et identifie le problème éventuel :</w:t>
      </w:r>
    </w:p>
    <w:p>
      <w:pPr>
        <w:spacing w:after="80"/>
      </w:pP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A : La clause bénéficiaire dit « mes héritiers ». Tu décèdes sans testament, tes héritiers légaux héritent du contrat via la succession ordinaire. Qu'est-ce que cela implique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B : La clause désigne ton fils unique. Il décède avant toi. Que se passe-t-il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Situation C : Tu as 68 ans et tu décides de verser 50 000 € supplémentaires sur ton contrat pour alimenter la clause bénéficiaire au profit de tes deux enfants. Quel est l'avantage fiscal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Corrigés :
A : En désignant 'mes héritiers', le capital entre dans la succession et est soumis aux droits de succession ordinaires. L'avantage hors-succession de l'assurance-vie est perdu. Il vaut mieux nommer les bénéficiaires précisément.
B : Si le bénéficiaire unique décède avant l'assuré et qu'il n'y a pas de bénéficiaire de second rang prévu, le capital réintègre la succession. Solution : toujours prévoir une clause en cascade ('à défaut, mes enfants par parts égales, vivants ou représentés').
C : Versement à 68 ans (avant 70 ans) → abattement de 152 500 € par bénéficiaire. Pour 2 enfants : 2 × 152 500 = 305 000 € d'abattement potentiel, soit le capital peut être transmis sans imposition dans cette limite. C'est l'un des grands avantages de verser avant 70 ans.</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Challenge — Synthèse : comprendre une simulation de rachat</w:t>
      </w:r>
    </w:p>
    <w:p>
      <w:pPr>
        <w:spacing w:after="120"/>
      </w:pPr>
      <w:r>
        <w:rPr>
          <w:rFonts w:ascii="Times New Roman" w:cs="Times New Roman" w:eastAsia="Times New Roman" w:hAnsi="Times New Roman"/>
          <w:color w:val="1F2937"/>
          <w:sz w:val="22"/>
          <w:szCs w:val="22"/>
        </w:rPr>
        <w:t xml:space="preserve">Scénario global (fictif, pédagogique)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as ouvert un contrat d'assurance-vie il y a 9 ans</w:t>
      </w:r>
    </w:p>
    <w:p>
      <w:pPr>
        <w:pStyle w:val="ListParagraph"/>
        <w:numPr>
          <w:ilvl w:val="0"/>
          <w:numId w:val="1"/>
        </w:numPr>
        <w:spacing w:after="80"/>
      </w:pPr>
      <w:r>
        <w:rPr>
          <w:rFonts w:ascii="Times New Roman" w:cs="Times New Roman" w:eastAsia="Times New Roman" w:hAnsi="Times New Roman"/>
          <w:color w:val="1F2937"/>
          <w:sz w:val="22"/>
          <w:szCs w:val="22"/>
        </w:rPr>
        <w:t xml:space="preserve">Versements totaux : 120 000 €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Valeur actuelle : 145 000 € (gains = 25 000 €)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envisages de retirer 30 000 € pour un projet</w:t>
      </w:r>
    </w:p>
    <w:p>
      <w:pPr>
        <w:pStyle w:val="ListParagraph"/>
        <w:numPr>
          <w:ilvl w:val="0"/>
          <w:numId w:val="1"/>
        </w:numPr>
        <w:spacing w:after="80"/>
      </w:pPr>
      <w:r>
        <w:rPr>
          <w:rFonts w:ascii="Times New Roman" w:cs="Times New Roman" w:eastAsia="Times New Roman" w:hAnsi="Times New Roman"/>
          <w:color w:val="1F2937"/>
          <w:sz w:val="22"/>
          <w:szCs w:val="22"/>
        </w:rPr>
        <w:t xml:space="preserve">Tu es marié(e), imposition commune</w:t>
      </w:r>
    </w:p>
    <w:p>
      <w:pPr>
        <w:spacing w:after="80"/>
      </w:pPr>
    </w:p>
    <w:p>
      <w:pPr>
        <w:spacing w:after="120"/>
      </w:pPr>
      <w:r>
        <w:rPr>
          <w:rFonts w:ascii="Times New Roman" w:cs="Times New Roman" w:eastAsia="Times New Roman" w:hAnsi="Times New Roman"/>
          <w:color w:val="1F2937"/>
          <w:sz w:val="22"/>
          <w:szCs w:val="22"/>
        </w:rPr>
        <w:t xml:space="preserve">Question 1 : Calcule la part de gains dans ce rachat de 30 000 €.</w:t>
      </w:r>
    </w:p>
    <w:p>
      <w:pPr>
        <w:spacing w:after="120"/>
      </w:pPr>
      <w:r>
        <w:rPr>
          <w:rFonts w:ascii="Times New Roman" w:cs="Times New Roman" w:eastAsia="Times New Roman" w:hAnsi="Times New Roman"/>
          <w:color w:val="1F2937"/>
          <w:sz w:val="22"/>
          <w:szCs w:val="22"/>
        </w:rPr>
        <w:t xml:space="preserve">Question 2 : Quel est le taux PFU applicable sur ces gains ?</w:t>
      </w:r>
    </w:p>
    <w:p>
      <w:pPr>
        <w:spacing w:after="120"/>
      </w:pPr>
      <w:r>
        <w:rPr>
          <w:rFonts w:ascii="Times New Roman" w:cs="Times New Roman" w:eastAsia="Times New Roman" w:hAnsi="Times New Roman"/>
          <w:color w:val="1F2937"/>
          <w:sz w:val="22"/>
          <w:szCs w:val="22"/>
        </w:rPr>
        <w:t xml:space="preserve">Question 3 : Y a-t-il de l'impôt sur le revenu à payer, compte tenu de l'abattement applicable ?</w:t>
      </w:r>
    </w:p>
    <w:p>
      <w:pPr>
        <w:spacing w:after="120"/>
      </w:pPr>
      <w:r>
        <w:rPr>
          <w:rFonts w:ascii="Times New Roman" w:cs="Times New Roman" w:eastAsia="Times New Roman" w:hAnsi="Times New Roman"/>
          <w:color w:val="1F2937"/>
          <w:sz w:val="22"/>
          <w:szCs w:val="22"/>
        </w:rPr>
        <w:t xml:space="preserve">Question 4 : Calcule le montant total des prélèvements sociaux.</w:t>
      </w:r>
    </w:p>
    <w:p>
      <w:pPr>
        <w:spacing w:after="120"/>
      </w:pPr>
      <w:r>
        <w:rPr>
          <w:rFonts w:ascii="Times New Roman" w:cs="Times New Roman" w:eastAsia="Times New Roman" w:hAnsi="Times New Roman"/>
          <w:color w:val="1F2937"/>
          <w:sz w:val="22"/>
          <w:szCs w:val="22"/>
        </w:rPr>
        <w:t xml:space="preserve">Question 5 : Que conseilles-tu de vérifier avant d'effectuer ce rachat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1B3A6B" w:sz="4"/>
              <w:left w:val="none"/>
              <w:bottom w:val="single" w:color="1B3A6B" w:sz="4"/>
              <w:right w:val="none"/>
            </w:tcBorders>
            <w:shd w:color="EEF2F7" w:val="solid"/>
          </w:tcPr>
          <w:p>
            <w:pPr>
              <w:spacing w:after="60" w:before="60"/>
              <w:ind w:left="200" w:right="200"/>
            </w:pPr>
            <w:r>
              <w:rPr>
                <w:rFonts w:ascii="Times New Roman" w:cs="Times New Roman" w:eastAsia="Times New Roman" w:hAnsi="Times New Roman"/>
                <w:i/>
                <w:iCs/>
                <w:color w:val="1F2937"/>
                <w:sz w:val="20"/>
                <w:szCs w:val="20"/>
              </w:rPr>
              <w:t xml:space="preserve">Corrigé :
1. Gains dans le rachat = 30 000 × (25 000 / 145 000) = 5 172 €
2. Contrat &gt; 8 ans, versements totaux = 120 000 € ≤ 150 000 € → PFU à 7,5 %
3. Abattement couple : 9 200 €. Les gains imposables (5 172 €) sont inférieurs à l'abattement → 0 € d'IR (l'abattement couvre intégralement les gains de ce rachat).
4. Prélèvements sociaux : 5 172 × 17,2 % = 889,58 € (taux 2025)
5. Avant d'effectuer un rachat : vérifier l'ancienneté exacte du contrat (la date d'ouverture compte, pas la date des versements), vérifier si le plafond de 150 000 € de versements n'est pas dépassé sur l'ensemble de ses contrats d'assurance-vie, consulter son assureur pour un calcul précis, et envisager de fractionner les rachats sur plusieurs années fiscales pour maximiser l'abattement annuel.</w:t>
            </w:r>
          </w:p>
        </w:tc>
      </w:tr>
    </w:tbl>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L'assurance-vie et son avantage successoral peuvent intéresser les familles des personnes accompagnées, notamment dans le cadre de la planification patrimoniale pour leurs proches en situation de handicap. En tant que chef de service, tu peux être amené(e) à orienter les familles vers des professionnels agréés (CGP, notaire, association tutélaire) pour ce type de questions, sans jamais formuler toi-même de conseil financier.</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Ressources cliquables pour approfondir</w:t>
      </w:r>
    </w:p>
    <w:p>
      <w:pPr>
        <w:spacing w:after="120"/>
      </w:pPr>
      <w:r>
        <w:rPr>
          <w:rFonts w:ascii="Times New Roman" w:cs="Times New Roman" w:eastAsia="Times New Roman" w:hAnsi="Times New Roman"/>
          <w:color w:val="1F2937"/>
          <w:sz w:val="22"/>
          <w:szCs w:val="22"/>
        </w:rPr>
        <w:t xml:space="preserve">Sources officielles et neutres consultées pour cette leçon :</w:t>
      </w:r>
    </w:p>
    <w:p>
      <w:pPr>
        <w:spacing w:after="80"/>
      </w:pPr>
    </w:p>
    <w:p>
      <w:pPr>
        <w:spacing w:after="80"/>
        <w:ind w:left="200"/>
      </w:pPr>
      <w:r>
        <w:rPr>
          <w:rFonts w:ascii="Times New Roman" w:cs="Times New Roman" w:eastAsia="Times New Roman" w:hAnsi="Times New Roman"/>
          <w:color w:val="1B3A6B"/>
          <w:sz w:val="22"/>
          <w:szCs w:val="22"/>
        </w:rPr>
        <w:t xml:space="preserve">→ </w:t>
      </w:r>
      <w:hyperlink w:history="1" r:id="rId3bsq3k2ihcv9wfwzag-4c">
        <w:r>
          <w:rPr>
            <w:rFonts w:ascii="Times New Roman" w:cs="Times New Roman" w:eastAsia="Times New Roman" w:hAnsi="Times New Roman"/>
            <w:color w:val="1155CC"/>
            <w:sz w:val="22"/>
            <w:szCs w:val="22"/>
            <w:u w:val="single"/>
          </w:rPr>
          <w:t xml:space="preserve">La finance pour tous — Qu'est-ce que l'assurance-vie ?</w:t>
        </w:r>
      </w:hyperlink>
    </w:p>
    <w:p>
      <w:pPr>
        <w:spacing w:after="80"/>
        <w:ind w:left="200"/>
      </w:pPr>
      <w:r>
        <w:rPr>
          <w:rFonts w:ascii="Times New Roman" w:cs="Times New Roman" w:eastAsia="Times New Roman" w:hAnsi="Times New Roman"/>
          <w:color w:val="1B3A6B"/>
          <w:sz w:val="22"/>
          <w:szCs w:val="22"/>
        </w:rPr>
        <w:t xml:space="preserve">→ </w:t>
      </w:r>
      <w:hyperlink w:history="1" r:id="rId5-y4kds09icklnfb8n8r-">
        <w:r>
          <w:rPr>
            <w:rFonts w:ascii="Times New Roman" w:cs="Times New Roman" w:eastAsia="Times New Roman" w:hAnsi="Times New Roman"/>
            <w:color w:val="1155CC"/>
            <w:sz w:val="22"/>
            <w:szCs w:val="22"/>
            <w:u w:val="single"/>
          </w:rPr>
          <w:t xml:space="preserve">La finance pour tous — Fiscalité de l'assurance-vie</w:t>
        </w:r>
      </w:hyperlink>
    </w:p>
    <w:p>
      <w:pPr>
        <w:spacing w:after="80"/>
        <w:ind w:left="200"/>
      </w:pPr>
      <w:r>
        <w:rPr>
          <w:rFonts w:ascii="Times New Roman" w:cs="Times New Roman" w:eastAsia="Times New Roman" w:hAnsi="Times New Roman"/>
          <w:color w:val="1B3A6B"/>
          <w:sz w:val="22"/>
          <w:szCs w:val="22"/>
        </w:rPr>
        <w:t xml:space="preserve">→ </w:t>
      </w:r>
      <w:hyperlink w:history="1" r:id="rIdzzdulgzapwpsddfeesz1c">
        <w:r>
          <w:rPr>
            <w:rFonts w:ascii="Times New Roman" w:cs="Times New Roman" w:eastAsia="Times New Roman" w:hAnsi="Times New Roman"/>
            <w:color w:val="1155CC"/>
            <w:sz w:val="22"/>
            <w:szCs w:val="22"/>
            <w:u w:val="single"/>
          </w:rPr>
          <w:t xml:space="preserve">La finance pour tous — Quelle est la fiscalité après 8 ans ?</w:t>
        </w:r>
      </w:hyperlink>
    </w:p>
    <w:p>
      <w:pPr>
        <w:spacing w:after="80"/>
        <w:ind w:left="200"/>
      </w:pPr>
      <w:r>
        <w:rPr>
          <w:rFonts w:ascii="Times New Roman" w:cs="Times New Roman" w:eastAsia="Times New Roman" w:hAnsi="Times New Roman"/>
          <w:color w:val="1B3A6B"/>
          <w:sz w:val="22"/>
          <w:szCs w:val="22"/>
        </w:rPr>
        <w:t xml:space="preserve">→ </w:t>
      </w:r>
      <w:hyperlink w:history="1" r:id="rIdiggsj1vjax26hp-xfi_wd">
        <w:r>
          <w:rPr>
            <w:rFonts w:ascii="Times New Roman" w:cs="Times New Roman" w:eastAsia="Times New Roman" w:hAnsi="Times New Roman"/>
            <w:color w:val="1155CC"/>
            <w:sz w:val="22"/>
            <w:szCs w:val="22"/>
            <w:u w:val="single"/>
          </w:rPr>
          <w:t xml:space="preserve">La finance pour tous — Comment récupérer son argent ?</w:t>
        </w:r>
      </w:hyperlink>
    </w:p>
    <w:p>
      <w:pPr>
        <w:spacing w:after="80"/>
        <w:ind w:left="200"/>
      </w:pPr>
      <w:r>
        <w:rPr>
          <w:rFonts w:ascii="Times New Roman" w:cs="Times New Roman" w:eastAsia="Times New Roman" w:hAnsi="Times New Roman"/>
          <w:color w:val="1B3A6B"/>
          <w:sz w:val="22"/>
          <w:szCs w:val="22"/>
        </w:rPr>
        <w:t xml:space="preserve">→ </w:t>
      </w:r>
      <w:hyperlink w:history="1" r:id="rIdwdw4tiytijdqts8pfey-b">
        <w:r>
          <w:rPr>
            <w:rFonts w:ascii="Times New Roman" w:cs="Times New Roman" w:eastAsia="Times New Roman" w:hAnsi="Times New Roman"/>
            <w:color w:val="1155CC"/>
            <w:sz w:val="22"/>
            <w:szCs w:val="22"/>
            <w:u w:val="single"/>
          </w:rPr>
          <w:t xml:space="preserve">La finance pour tous — Clause bénéficiaire : comment la rédiger ?</w:t>
        </w:r>
      </w:hyperlink>
    </w:p>
    <w:p>
      <w:pPr>
        <w:spacing w:after="80"/>
        <w:ind w:left="200"/>
      </w:pPr>
      <w:r>
        <w:rPr>
          <w:rFonts w:ascii="Times New Roman" w:cs="Times New Roman" w:eastAsia="Times New Roman" w:hAnsi="Times New Roman"/>
          <w:color w:val="1B3A6B"/>
          <w:sz w:val="22"/>
          <w:szCs w:val="22"/>
        </w:rPr>
        <w:t xml:space="preserve">→ </w:t>
      </w:r>
      <w:hyperlink w:history="1" r:id="rId5pbznoljzledva_ikca05">
        <w:r>
          <w:rPr>
            <w:rFonts w:ascii="Times New Roman" w:cs="Times New Roman" w:eastAsia="Times New Roman" w:hAnsi="Times New Roman"/>
            <w:color w:val="1155CC"/>
            <w:sz w:val="22"/>
            <w:szCs w:val="22"/>
            <w:u w:val="single"/>
          </w:rPr>
          <w:t xml:space="preserve">La finance pour tous — Assurance-vie et transmission de capital</w:t>
        </w:r>
      </w:hyperlink>
    </w:p>
    <w:p>
      <w:pPr>
        <w:spacing w:after="80"/>
        <w:ind w:left="200"/>
      </w:pPr>
      <w:r>
        <w:rPr>
          <w:rFonts w:ascii="Times New Roman" w:cs="Times New Roman" w:eastAsia="Times New Roman" w:hAnsi="Times New Roman"/>
          <w:color w:val="1B3A6B"/>
          <w:sz w:val="22"/>
          <w:szCs w:val="22"/>
        </w:rPr>
        <w:t xml:space="preserve">→ </w:t>
      </w:r>
      <w:hyperlink w:history="1" r:id="rIdcnbi_uc3slwasr3klf3hd">
        <w:r>
          <w:rPr>
            <w:rFonts w:ascii="Times New Roman" w:cs="Times New Roman" w:eastAsia="Times New Roman" w:hAnsi="Times New Roman"/>
            <w:color w:val="1155CC"/>
            <w:sz w:val="22"/>
            <w:szCs w:val="22"/>
            <w:u w:val="single"/>
          </w:rPr>
          <w:t xml:space="preserve">impots.gouv.fr — L'assurance-vie et le PEA</w:t>
        </w:r>
      </w:hyperlink>
    </w:p>
    <w:p>
      <w:pPr>
        <w:spacing w:after="80"/>
        <w:ind w:left="200"/>
      </w:pPr>
      <w:r>
        <w:rPr>
          <w:rFonts w:ascii="Times New Roman" w:cs="Times New Roman" w:eastAsia="Times New Roman" w:hAnsi="Times New Roman"/>
          <w:color w:val="1B3A6B"/>
          <w:sz w:val="22"/>
          <w:szCs w:val="22"/>
        </w:rPr>
        <w:t xml:space="preserve">→ </w:t>
      </w:r>
      <w:hyperlink w:history="1" r:id="rIdzv-wjhsreirb7tqz8bbhr">
        <w:r>
          <w:rPr>
            <w:rFonts w:ascii="Times New Roman" w:cs="Times New Roman" w:eastAsia="Times New Roman" w:hAnsi="Times New Roman"/>
            <w:color w:val="1155CC"/>
            <w:sz w:val="22"/>
            <w:szCs w:val="22"/>
            <w:u w:val="single"/>
          </w:rPr>
          <w:t xml:space="preserve">impots.gouv.fr — Imposition des rachats d'assurance-vie</w:t>
        </w:r>
      </w:hyperlink>
    </w:p>
    <w:p>
      <w:pPr>
        <w:spacing w:after="80"/>
        <w:ind w:left="200"/>
      </w:pPr>
      <w:r>
        <w:rPr>
          <w:rFonts w:ascii="Times New Roman" w:cs="Times New Roman" w:eastAsia="Times New Roman" w:hAnsi="Times New Roman"/>
          <w:color w:val="1B3A6B"/>
          <w:sz w:val="22"/>
          <w:szCs w:val="22"/>
        </w:rPr>
        <w:t xml:space="preserve">→ </w:t>
      </w:r>
      <w:hyperlink w:history="1" r:id="rId1e70txznrat5rcfqdqarz">
        <w:r>
          <w:rPr>
            <w:rFonts w:ascii="Times New Roman" w:cs="Times New Roman" w:eastAsia="Times New Roman" w:hAnsi="Times New Roman"/>
            <w:color w:val="1155CC"/>
            <w:sz w:val="22"/>
            <w:szCs w:val="22"/>
            <w:u w:val="single"/>
          </w:rPr>
          <w:t xml:space="preserve">impots.gouv.fr — Bénéficiaire d'une assurance-vie : comment la déclarer ?</w:t>
        </w:r>
      </w:hyperlink>
    </w:p>
    <w:p>
      <w:pPr>
        <w:spacing w:after="80"/>
        <w:ind w:left="200"/>
      </w:pPr>
      <w:r>
        <w:rPr>
          <w:rFonts w:ascii="Times New Roman" w:cs="Times New Roman" w:eastAsia="Times New Roman" w:hAnsi="Times New Roman"/>
          <w:color w:val="1B3A6B"/>
          <w:sz w:val="22"/>
          <w:szCs w:val="22"/>
        </w:rPr>
        <w:t xml:space="preserve">→ </w:t>
      </w:r>
      <w:hyperlink w:history="1" r:id="rId5avwixylafwrettxrum8p">
        <w:r>
          <w:rPr>
            <w:rFonts w:ascii="Times New Roman" w:cs="Times New Roman" w:eastAsia="Times New Roman" w:hAnsi="Times New Roman"/>
            <w:color w:val="1155CC"/>
            <w:sz w:val="22"/>
            <w:szCs w:val="22"/>
            <w:u w:val="single"/>
          </w:rPr>
          <w:t xml:space="preserve">economie.gouv.fr — Fiscalité de l'assurance-vie</w:t>
        </w:r>
      </w:hyperlink>
    </w:p>
    <w:p>
      <w:pPr>
        <w:spacing w:after="80"/>
      </w:pPr>
    </w:p>
    <w:p>
      <w:pPr>
        <w:spacing w:after="120"/>
      </w:pPr>
      <w:r>
        <w:rPr>
          <w:rFonts w:ascii="Times New Roman" w:cs="Times New Roman" w:eastAsia="Times New Roman" w:hAnsi="Times New Roman"/>
          <w:i/>
          <w:iCs/>
          <w:color w:val="1F2937"/>
          <w:sz w:val="22"/>
          <w:szCs w:val="22"/>
        </w:rPr>
        <w:t xml:space="preserve">Sources inaccessibles lors de cette exécution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 economie.gouv.fr/particuliers/assurance-vie →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amf-france.org/fr/espace-epargnants/les-instruments-financiers/assurance-vie → 404</w:t>
      </w:r>
    </w:p>
    <w:p>
      <w:pPr>
        <w:pStyle w:val="ListParagraph"/>
        <w:numPr>
          <w:ilvl w:val="0"/>
          <w:numId w:val="1"/>
        </w:numPr>
        <w:spacing w:after="80"/>
      </w:pPr>
      <w:r>
        <w:rPr>
          <w:rFonts w:ascii="Times New Roman" w:cs="Times New Roman" w:eastAsia="Times New Roman" w:hAnsi="Times New Roman"/>
          <w:color w:val="1F2937"/>
          <w:sz w:val="22"/>
          <w:szCs w:val="22"/>
        </w:rPr>
        <w:t xml:space="preserve">⛔ service-public.gouv.fr/particuliers/vosdroits/F2780 → renvoi vers un contenu sans rapport</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Pour aller plus loin avec un professionnel</w:t>
      </w:r>
    </w:p>
    <w:p>
      <w:pPr>
        <w:spacing w:after="120"/>
      </w:pPr>
      <w:r>
        <w:rPr>
          <w:rFonts w:ascii="Times New Roman" w:cs="Times New Roman" w:eastAsia="Times New Roman" w:hAnsi="Times New Roman"/>
          <w:color w:val="1F2937"/>
          <w:sz w:val="22"/>
          <w:szCs w:val="22"/>
        </w:rPr>
        <w:t xml:space="preserve">Questions concrètes à poser à un CGP ou CIF agréé AMF :</w:t>
      </w:r>
    </w:p>
    <w:p>
      <w:pPr>
        <w:pStyle w:val="ListParagraph"/>
        <w:numPr>
          <w:ilvl w:val="0"/>
          <w:numId w:val="1"/>
        </w:numPr>
        <w:spacing w:after="80"/>
      </w:pPr>
      <w:r>
        <w:rPr>
          <w:rFonts w:ascii="Times New Roman" w:cs="Times New Roman" w:eastAsia="Times New Roman" w:hAnsi="Times New Roman"/>
          <w:color w:val="1F2937"/>
          <w:sz w:val="22"/>
          <w:szCs w:val="22"/>
        </w:rPr>
        <w:t xml:space="preserve">Ma clause bénéficiaire actuelle est-elle optimale au regard de ma situation familiale et fiscale ? Faut-il la modifier avant mes 70 ans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Compte tenu de mon horizon de 7-8 ans, quelle répartition fonds euros / unités de compte me recommandez-vous, et pourquoi ? Quels supports UC me proposez-vous et quels sont leurs frais de gestion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Si je prévois des rachats progressifs dans 7-8 ans, comment organiser les retraits annuels pour optimiser l'abattement fiscal (4 600 € / 9 200 €) ?</w:t>
      </w:r>
    </w:p>
    <w:p>
      <w:pPr>
        <w:spacing w:after="80"/>
      </w:pPr>
    </w:p>
    <w:p>
      <w:pPr>
        <w:pBdr>
          <w:bottom w:val="single" w:color="1B3A6B" w:sz="6" w:space="1"/>
        </w:pBdr>
        <w:spacing w:after="160" w:before="280"/>
      </w:pPr>
      <w:r>
        <w:rPr>
          <w:rFonts w:ascii="Times New Roman" w:cs="Times New Roman" w:eastAsia="Times New Roman" w:hAnsi="Times New Roman"/>
          <w:b/>
          <w:bCs/>
          <w:color w:val="1B3A6B"/>
          <w:sz w:val="30"/>
          <w:szCs w:val="30"/>
        </w:rPr>
        <w:t xml:space="preserve">🔜 Prochaine leçon — Leçon 7</w:t>
      </w:r>
    </w:p>
    <w:p>
      <w:pPr>
        <w:spacing w:after="120"/>
      </w:pPr>
      <w:r>
        <w:rPr>
          <w:rFonts w:ascii="Times New Roman" w:cs="Times New Roman" w:eastAsia="Times New Roman" w:hAnsi="Times New Roman"/>
          <w:color w:val="1F2937"/>
          <w:sz w:val="22"/>
          <w:szCs w:val="22"/>
        </w:rPr>
        <w:t xml:space="preserve">Le PER (Plan d'Épargne Retraite) et la préparation de la retraite : déductibilité des versements à l'entrée, sortie en capital ou en rente, fiscalité à la sortie — un thème particulièrement stratégique dans un horizon de 7-8 ans.</w:t>
      </w:r>
    </w:p>
    <w:p>
      <w:pPr>
        <w:spacing w:after="80"/>
      </w:pPr>
    </w:p>
    <w:p>
      <w:pPr>
        <w:pBdr>
          <w:top w:val="single" w:color="1B3A6B" w:sz="4" w:space="8"/>
        </w:pBdr>
        <w:spacing w:before="400"/>
        <w:jc w:val="center"/>
      </w:pPr>
      <w:r>
        <w:rPr>
          <w:rFonts w:ascii="Times New Roman" w:cs="Times New Roman" w:eastAsia="Times New Roman" w:hAnsi="Times New Roman"/>
          <w:i/>
          <w:iCs/>
          <w:color w:val="888888"/>
          <w:sz w:val="16"/>
          <w:szCs w:val="16"/>
        </w:rPr>
        <w:t xml:space="preserve">Parcours Placement financier — Module Intermédiaire — Leçon 6/16 | 18 juillet 2026 | Éducation financière générale, sans conseil personnalisé</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bsq3k2ihcv9wfwzag-4c" Type="http://schemas.openxmlformats.org/officeDocument/2006/relationships/hyperlink" Target="https://www.lafinancepourtous.com/pratique/placements/assurance-vie/qu-est-ce-que-l-assurance-vie/" TargetMode="External"/><Relationship Id="rId5-y4kds09icklnfb8n8r-" Type="http://schemas.openxmlformats.org/officeDocument/2006/relationships/hyperlink" Target="https://www.lafinancepourtous.com/pratique/impots/fiscalite-de-l-epargne-2/assurance-vie-quelle-fiscalite/" TargetMode="External"/><Relationship Id="rIdzzdulgzapwpsddfeesz1c" Type="http://schemas.openxmlformats.org/officeDocument/2006/relationships/hyperlink" Target="https://www.lafinancepourtous.com/outils/questions-reponses/quelle-est-la-fiscalite-des-contrats-dassurance-vie-apres-8-ans/" TargetMode="External"/><Relationship Id="rIdiggsj1vjax26hp-xfi_wd" Type="http://schemas.openxmlformats.org/officeDocument/2006/relationships/hyperlink" Target="https://www.lafinancepourtous.com/pratique/placements/assurance-vie/comment-recuperer-mon-argent/" TargetMode="External"/><Relationship Id="rIdwdw4tiytijdqts8pfey-b" Type="http://schemas.openxmlformats.org/officeDocument/2006/relationships/hyperlink" Target="https://www.lafinancepourtous.com/pratique/placements/assurance-vie/comment-rediger-la-clause-beneficiaire-dun-contrat-dassurance-vie/" TargetMode="External"/><Relationship Id="rId5pbznoljzledva_ikca05" Type="http://schemas.openxmlformats.org/officeDocument/2006/relationships/hyperlink" Target="https://www.lafinancepourtous.com/pratique/vie-perso/transmission-donation/preparer-sa-succession/assurance-vie-instrument-de-transmission-d-un-capital/" TargetMode="External"/><Relationship Id="rIdcnbi_uc3slwasr3klf3hd" Type="http://schemas.openxmlformats.org/officeDocument/2006/relationships/hyperlink" Target="https://www.impots.gouv.fr/particulier/lassurance-vie-et-le-pea-0" TargetMode="External"/><Relationship Id="rIdzv-wjhsreirb7tqz8bbhr" Type="http://schemas.openxmlformats.org/officeDocument/2006/relationships/hyperlink" Target="https://www.impots.gouv.fr/particulier/questions/jai-effectue-des-retraits-sur-mon-contrat-dassurance-vie-quelles-sont-les" TargetMode="External"/><Relationship Id="rId1e70txznrat5rcfqdqarz" Type="http://schemas.openxmlformats.org/officeDocument/2006/relationships/hyperlink" Target="https://www.impots.gouv.fr/particulier/questions/je-suis-beneficiaire-dune-assurance-vie-comment-la-declarer" TargetMode="External"/><Relationship Id="rId5avwixylafwrettxrum8p" Type="http://schemas.openxmlformats.org/officeDocument/2006/relationships/hyperlink" Target="https://www.economie.gouv.fr/particuliers/gerer-mon-argent/gerer-mon-budget-et-mon-epargne/quelle-est-la-fiscalite-de-lassurance-vi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2026-07-18T06:07:03.827Z</dcterms:created>
  <dcterms:modified xsi:type="dcterms:W3CDTF">2026-07-18T06:07:03.877Z</dcterms:modified>
</cp:coreProperties>
</file>

<file path=docProps/custom.xml><?xml version="1.0" encoding="utf-8"?>
<Properties xmlns="http://schemas.openxmlformats.org/officeDocument/2006/custom-properties" xmlns:vt="http://schemas.openxmlformats.org/officeDocument/2006/docPropsVTypes"/>
</file>