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6B"/>
          <w:sz w:val="36"/>
          <w:szCs w:val="36"/>
        </w:rPr>
        <w:t xml:space="preserve">VEILLE HAS — RBPP</w:t>
      </w:r>
    </w:p>
    <w:p>
      <w:pPr>
        <w:spacing w:after="80"/>
        <w:jc w:val="center"/>
      </w:pPr>
      <w:r>
        <w:rPr>
          <w:rFonts w:ascii="Calibri" w:cs="Calibri" w:eastAsia="Calibri" w:hAnsi="Calibri"/>
          <w:i/>
          <w:iCs/>
          <w:color w:val="6B7280"/>
          <w:sz w:val="20"/>
          <w:szCs w:val="20"/>
        </w:rPr>
        <w:t xml:space="preserve">Recommandations pour renforcer la qualité des visites en présence d'un tiers et mieux protéger les enfants</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Informations générales</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000"/>
        <w:gridCol w:w="7906"/>
      </w:tblGrid>
      <w:tr>
        <w:tc>
          <w:tcPr>
            <w:tcW w:type="dxa" w:w="30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Thème</w:t>
            </w:r>
          </w:p>
        </w:tc>
        <w:tc>
          <w:tcPr>
            <w:tcW w:type="dxa" w:w="79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Point clé</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Date de publication</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2 mars 2026 (travaux réalisés en 2025-2026)</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Type de document</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Recommandation de Bonne Pratique Professionnelle (RBPP)</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Public cible</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Travailleurs sociaux, éducateurs, psychologues, TISF, professionnels ASE, acteurs Protection de l'enfance, magistrats</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Organisme émetteur</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Autorité de Santé (HAS)</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Champ d'application</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Visites en présence d'un tiers (VPT) dans le cadre de l'Aide Sociale à l'Enfance</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Résumé exécutif</w:t>
      </w:r>
    </w:p>
    <w:p>
      <w:pPr>
        <w:spacing w:after="40"/>
      </w:pPr>
      <w:r>
        <w:rPr>
          <w:rFonts w:ascii="Calibri" w:cs="Calibri" w:eastAsia="Calibri" w:hAnsi="Calibri"/>
          <w:color w:val="1F2937"/>
          <w:sz w:val="22"/>
          <w:szCs w:val="22"/>
        </w:rPr>
        <w:t xml:space="preserve">La HAS publie des recommandations de bonnes pratiques professionnelles visant à harmoniser et renforcer la qualité des visites encadrées par un professionnel tiers (VPT). Ces rencontres entre enfants confiés à l'Aide Sociale à l'Enfance (ASE) et leurs parents constituent une mesure judiciaire d'assistance éducative. Face à la forte hétérogénéité des pratiques, l'absence de cadre standardisé et l'augmentation du recours aux VPT, la HAS propose une approche structurée couvrant la préparation, la mise en oeuvre et l'évaluation de ces visites.</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Contexte et enjeux</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000"/>
        <w:gridCol w:w="7906"/>
      </w:tblGrid>
      <w:tr>
        <w:tc>
          <w:tcPr>
            <w:tcW w:type="dxa" w:w="30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Thème</w:t>
            </w:r>
          </w:p>
        </w:tc>
        <w:tc>
          <w:tcPr>
            <w:tcW w:type="dxa" w:w="79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Point clé</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Augmentation des VPT</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Recours en forte hausse, notamment pour les très jeunes enfants confiés à l'ASE</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Hétérogénéité des pratiques</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Pratiques très variables d'un territoire à l'autre, sans cadre commun</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Absence de données nationales</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Pas de chiffres nationaux fiables sur le nombre et la nature des VPT</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Diversité des intervenants</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Profils variés des professionnels tiers selon les territoires et structures</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Charge émotionnelle</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Poids psychique important pour les professionnels intervenant lors des VPT</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Articulation insuffisante</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Manque de coordination entre les acteurs impliqués dans la mesure</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clés par axe</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000"/>
        <w:gridCol w:w="7906"/>
      </w:tblGrid>
      <w:tr>
        <w:tc>
          <w:tcPr>
            <w:tcW w:type="dxa" w:w="30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Thème</w:t>
            </w:r>
          </w:p>
        </w:tc>
        <w:tc>
          <w:tcPr>
            <w:tcW w:type="dxa" w:w="79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Point clé</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Rôle du professionnel tiers</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Triple rôle : garant de la sécurité de l'enfant, observateur des interactions, soutien de la relation parent-enfant</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Préparation de la mesure</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Clarification des objectifs, du cadre et des modalités pratiques avant toute VPT</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Adaptation aux profils</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Modalités différentes selon l'âge (nourrisson vs adolescent) et la situation</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Nourrissons</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Visites courtes, fréquentes, fortement encadrées, évaluation régulière des effets</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Adolescents</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Prise en compte du point de vue de l'adolescent, préservation de l'intimité</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Observation et évaluation</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Observation continue des interactions, évaluation régulière des effets sur l'enfant</w:t>
            </w:r>
          </w:p>
        </w:tc>
      </w:tr>
      <w:tr>
        <w:tc>
          <w:tcPr>
            <w:tcW w:type="dxa" w:w="3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Ajustement continu</w:t>
            </w:r>
          </w:p>
        </w:tc>
        <w:tc>
          <w:tcPr>
            <w:tcW w:type="dxa" w:w="79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Adaptation constante de la mesure selon l'évolution des besoins</w:t>
            </w:r>
          </w:p>
        </w:tc>
      </w:tr>
      <w:tr>
        <w:tc>
          <w:tcPr>
            <w:tcW w:type="dxa" w:w="3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Soutien professionnel</w:t>
            </w:r>
          </w:p>
        </w:tc>
        <w:tc>
          <w:tcPr>
            <w:tcW w:type="dxa" w:w="79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Formation et soutien psychologique indispensables pour les professionnels tiers</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4 phases clés de l'intervention</w:t>
      </w:r>
    </w:p>
    <w:p>
      <w:pPr>
        <w:spacing w:after="40"/>
      </w:pPr>
      <w:r>
        <w:rPr>
          <w:rFonts w:ascii="Calibri" w:cs="Calibri" w:eastAsia="Calibri" w:hAnsi="Calibri"/>
          <w:color w:val="1F2937"/>
          <w:sz w:val="22"/>
          <w:szCs w:val="22"/>
        </w:rPr>
        <w:t xml:space="preserve">La RBPP structure l'intervention autour de quatre phases successives :</w:t>
      </w:r>
    </w:p>
    <w:p>
      <w:pPr>
        <w:pStyle w:val="ListParagraph"/>
        <w:numPr>
          <w:ilvl w:val="0"/>
          <w:numId w:val="2"/>
        </w:numPr>
        <w:spacing w:after="40"/>
      </w:pPr>
      <w:r>
        <w:rPr>
          <w:rFonts w:ascii="Calibri" w:cs="Calibri" w:eastAsia="Calibri" w:hAnsi="Calibri"/>
          <w:color w:val="1F2937"/>
          <w:sz w:val="22"/>
          <w:szCs w:val="22"/>
        </w:rPr>
        <w:t xml:space="preserve">Phase 1 — Préparation de la mesure : clarification des objectifs, du cadre légal et des modalités pratiques (lieu, durée, fréquence)</w:t>
      </w:r>
    </w:p>
    <w:p>
      <w:pPr>
        <w:pStyle w:val="ListParagraph"/>
        <w:numPr>
          <w:ilvl w:val="0"/>
          <w:numId w:val="2"/>
        </w:numPr>
        <w:spacing w:after="40"/>
      </w:pPr>
      <w:r>
        <w:rPr>
          <w:rFonts w:ascii="Calibri" w:cs="Calibri" w:eastAsia="Calibri" w:hAnsi="Calibri"/>
          <w:color w:val="1F2937"/>
          <w:sz w:val="22"/>
          <w:szCs w:val="22"/>
        </w:rPr>
        <w:t xml:space="preserve">Phase 2 — Mise en oeuvre des visites : intervention du professionnel tiers selon les modalités définies, adaptées au profil de l'enfant</w:t>
      </w:r>
    </w:p>
    <w:p>
      <w:pPr>
        <w:pStyle w:val="ListParagraph"/>
        <w:numPr>
          <w:ilvl w:val="0"/>
          <w:numId w:val="2"/>
        </w:numPr>
        <w:spacing w:after="40"/>
      </w:pPr>
      <w:r>
        <w:rPr>
          <w:rFonts w:ascii="Calibri" w:cs="Calibri" w:eastAsia="Calibri" w:hAnsi="Calibri"/>
          <w:color w:val="1F2937"/>
          <w:sz w:val="22"/>
          <w:szCs w:val="22"/>
        </w:rPr>
        <w:t xml:space="preserve">Phase 3 — Observation et évaluation continue : observation des interactions parent-enfant, documentation des observations, évaluation régulière des effets</w:t>
      </w:r>
    </w:p>
    <w:p>
      <w:pPr>
        <w:pStyle w:val="ListParagraph"/>
        <w:numPr>
          <w:ilvl w:val="0"/>
          <w:numId w:val="2"/>
        </w:numPr>
        <w:spacing w:after="40"/>
      </w:pPr>
      <w:r>
        <w:rPr>
          <w:rFonts w:ascii="Calibri" w:cs="Calibri" w:eastAsia="Calibri" w:hAnsi="Calibri"/>
          <w:color w:val="1F2937"/>
          <w:sz w:val="22"/>
          <w:szCs w:val="22"/>
        </w:rPr>
        <w:t xml:space="preserve">Phase 4 — Ajustement et compte rendu : adaptation de la mesure si nécessaire, rédaction des comptes rendus à destination du juge ou de l'ASE</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Recommandations principales</w:t>
      </w:r>
    </w:p>
    <w:p>
      <w:pPr>
        <w:pStyle w:val="ListParagraph"/>
        <w:numPr>
          <w:ilvl w:val="0"/>
          <w:numId w:val="2"/>
        </w:numPr>
        <w:spacing w:after="40"/>
      </w:pPr>
      <w:r>
        <w:rPr>
          <w:rFonts w:ascii="Calibri" w:cs="Calibri" w:eastAsia="Calibri" w:hAnsi="Calibri"/>
          <w:color w:val="1F2937"/>
          <w:sz w:val="22"/>
          <w:szCs w:val="22"/>
        </w:rPr>
        <w:t xml:space="preserve">Clarifier systématiquement les objectifs et le cadre d'intervention avant chaque VPT</w:t>
      </w:r>
    </w:p>
    <w:p>
      <w:pPr>
        <w:pStyle w:val="ListParagraph"/>
        <w:numPr>
          <w:ilvl w:val="0"/>
          <w:numId w:val="2"/>
        </w:numPr>
        <w:spacing w:after="40"/>
      </w:pPr>
      <w:r>
        <w:rPr>
          <w:rFonts w:ascii="Calibri" w:cs="Calibri" w:eastAsia="Calibri" w:hAnsi="Calibri"/>
          <w:color w:val="1F2937"/>
          <w:sz w:val="22"/>
          <w:szCs w:val="22"/>
        </w:rPr>
        <w:t xml:space="preserve">Adapter les modalités pratiques (durée, fréquence, lieu) selon les besoins spécifiques de chaque enfant</w:t>
      </w:r>
    </w:p>
    <w:p>
      <w:pPr>
        <w:pStyle w:val="ListParagraph"/>
        <w:numPr>
          <w:ilvl w:val="0"/>
          <w:numId w:val="2"/>
        </w:numPr>
        <w:spacing w:after="40"/>
      </w:pPr>
      <w:r>
        <w:rPr>
          <w:rFonts w:ascii="Calibri" w:cs="Calibri" w:eastAsia="Calibri" w:hAnsi="Calibri"/>
          <w:color w:val="1F2937"/>
          <w:sz w:val="22"/>
          <w:szCs w:val="22"/>
        </w:rPr>
        <w:t xml:space="preserve">Reconnaître que le professionnel tiers n'est pas un simple surveillant : il occupe un rôle actif et complexe</w:t>
      </w:r>
    </w:p>
    <w:p>
      <w:pPr>
        <w:pStyle w:val="ListParagraph"/>
        <w:numPr>
          <w:ilvl w:val="0"/>
          <w:numId w:val="2"/>
        </w:numPr>
        <w:spacing w:after="40"/>
      </w:pPr>
      <w:r>
        <w:rPr>
          <w:rFonts w:ascii="Calibri" w:cs="Calibri" w:eastAsia="Calibri" w:hAnsi="Calibri"/>
          <w:color w:val="1F2937"/>
          <w:sz w:val="22"/>
          <w:szCs w:val="22"/>
        </w:rPr>
        <w:t xml:space="preserve">Structurer l'observation des interactions parent-enfant avec des outils professionnels adaptés</w:t>
      </w:r>
    </w:p>
    <w:p>
      <w:pPr>
        <w:pStyle w:val="ListParagraph"/>
        <w:numPr>
          <w:ilvl w:val="0"/>
          <w:numId w:val="2"/>
        </w:numPr>
        <w:spacing w:after="40"/>
      </w:pPr>
      <w:r>
        <w:rPr>
          <w:rFonts w:ascii="Calibri" w:cs="Calibri" w:eastAsia="Calibri" w:hAnsi="Calibri"/>
          <w:color w:val="1F2937"/>
          <w:sz w:val="22"/>
          <w:szCs w:val="22"/>
        </w:rPr>
        <w:t xml:space="preserve">Assurer une évaluation régulière des effets de la mesure sur l'enfant et la relation parent-enfant</w:t>
      </w:r>
    </w:p>
    <w:p>
      <w:pPr>
        <w:pStyle w:val="ListParagraph"/>
        <w:numPr>
          <w:ilvl w:val="0"/>
          <w:numId w:val="2"/>
        </w:numPr>
        <w:spacing w:after="40"/>
      </w:pPr>
      <w:r>
        <w:rPr>
          <w:rFonts w:ascii="Calibri" w:cs="Calibri" w:eastAsia="Calibri" w:hAnsi="Calibri"/>
          <w:color w:val="1F2937"/>
          <w:sz w:val="22"/>
          <w:szCs w:val="22"/>
        </w:rPr>
        <w:t xml:space="preserve">Prévoir des temps de supervision et de soutien psychologique pour les professionnels tiers</w:t>
      </w:r>
    </w:p>
    <w:p>
      <w:pPr>
        <w:pStyle w:val="ListParagraph"/>
        <w:numPr>
          <w:ilvl w:val="0"/>
          <w:numId w:val="2"/>
        </w:numPr>
        <w:spacing w:after="40"/>
      </w:pPr>
      <w:r>
        <w:rPr>
          <w:rFonts w:ascii="Calibri" w:cs="Calibri" w:eastAsia="Calibri" w:hAnsi="Calibri"/>
          <w:color w:val="1F2937"/>
          <w:sz w:val="22"/>
          <w:szCs w:val="22"/>
        </w:rPr>
        <w:t xml:space="preserve">Renforcer l'articulation entre tous les acteurs impliqués (ASE, justice, structures d'accueil, professionnel tiers)</w:t>
      </w:r>
    </w:p>
    <w:p>
      <w:pPr>
        <w:pStyle w:val="ListParagraph"/>
        <w:numPr>
          <w:ilvl w:val="0"/>
          <w:numId w:val="2"/>
        </w:numPr>
        <w:spacing w:after="40"/>
      </w:pPr>
      <w:r>
        <w:rPr>
          <w:rFonts w:ascii="Calibri" w:cs="Calibri" w:eastAsia="Calibri" w:hAnsi="Calibri"/>
          <w:color w:val="1F2937"/>
          <w:sz w:val="22"/>
          <w:szCs w:val="22"/>
        </w:rPr>
        <w:t xml:space="preserve">Former spécifiquement les professionnels aux pratiques des VPT et à la protection de l'enfance</w:t>
      </w:r>
    </w:p>
    <w:p>
      <w:pPr>
        <w:pStyle w:val="ListParagraph"/>
        <w:numPr>
          <w:ilvl w:val="0"/>
          <w:numId w:val="2"/>
        </w:numPr>
        <w:spacing w:after="40"/>
      </w:pPr>
      <w:r>
        <w:rPr>
          <w:rFonts w:ascii="Calibri" w:cs="Calibri" w:eastAsia="Calibri" w:hAnsi="Calibri"/>
          <w:color w:val="1F2937"/>
          <w:sz w:val="22"/>
          <w:szCs w:val="22"/>
        </w:rPr>
        <w:t xml:space="preserve">Ne pas standardiser à l'extrême : reconnaître que chaque situation familiale est unique</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de vigilance pour les ESSMS</w:t>
      </w:r>
    </w:p>
    <w:p>
      <w:pPr>
        <w:pStyle w:val="ListParagraph"/>
        <w:numPr>
          <w:ilvl w:val="0"/>
          <w:numId w:val="2"/>
        </w:numPr>
        <w:spacing w:after="40"/>
      </w:pPr>
      <w:r>
        <w:rPr>
          <w:rFonts w:ascii="Calibri" w:cs="Calibri" w:eastAsia="Calibri" w:hAnsi="Calibri"/>
          <w:color w:val="1F2937"/>
          <w:sz w:val="22"/>
          <w:szCs w:val="22"/>
        </w:rPr>
        <w:t xml:space="preserve">Reconnaître la charge émotionnelle et psychique importante des VPT pour les professionnels et prévoir un soutien</w:t>
      </w:r>
    </w:p>
    <w:p>
      <w:pPr>
        <w:pStyle w:val="ListParagraph"/>
        <w:numPr>
          <w:ilvl w:val="0"/>
          <w:numId w:val="2"/>
        </w:numPr>
        <w:spacing w:after="40"/>
      </w:pPr>
      <w:r>
        <w:rPr>
          <w:rFonts w:ascii="Calibri" w:cs="Calibri" w:eastAsia="Calibri" w:hAnsi="Calibri"/>
          <w:color w:val="1F2937"/>
          <w:sz w:val="22"/>
          <w:szCs w:val="22"/>
        </w:rPr>
        <w:t xml:space="preserve">Adapter systématiquement le cadre selon l'âge et le profil de l'enfant : un nourrisson nécessite une attention spécifique</w:t>
      </w:r>
    </w:p>
    <w:p>
      <w:pPr>
        <w:pStyle w:val="ListParagraph"/>
        <w:numPr>
          <w:ilvl w:val="0"/>
          <w:numId w:val="2"/>
        </w:numPr>
        <w:spacing w:after="40"/>
      </w:pPr>
      <w:r>
        <w:rPr>
          <w:rFonts w:ascii="Calibri" w:cs="Calibri" w:eastAsia="Calibri" w:hAnsi="Calibri"/>
          <w:color w:val="1F2937"/>
          <w:sz w:val="22"/>
          <w:szCs w:val="22"/>
        </w:rPr>
        <w:t xml:space="preserve">Prendre en compte la parole et le point de vue de l'adolescent dans la conduite des visites</w:t>
      </w:r>
    </w:p>
    <w:p>
      <w:pPr>
        <w:pStyle w:val="ListParagraph"/>
        <w:numPr>
          <w:ilvl w:val="0"/>
          <w:numId w:val="2"/>
        </w:numPr>
        <w:spacing w:after="40"/>
      </w:pPr>
      <w:r>
        <w:rPr>
          <w:rFonts w:ascii="Calibri" w:cs="Calibri" w:eastAsia="Calibri" w:hAnsi="Calibri"/>
          <w:color w:val="1F2937"/>
          <w:sz w:val="22"/>
          <w:szCs w:val="22"/>
        </w:rPr>
        <w:t xml:space="preserve">Documenter rigoureusement les observations lors de chaque VPT pour les comptes rendus judiciaires</w:t>
      </w:r>
    </w:p>
    <w:p>
      <w:pPr>
        <w:pStyle w:val="ListParagraph"/>
        <w:numPr>
          <w:ilvl w:val="0"/>
          <w:numId w:val="2"/>
        </w:numPr>
        <w:spacing w:after="40"/>
      </w:pPr>
      <w:r>
        <w:rPr>
          <w:rFonts w:ascii="Calibri" w:cs="Calibri" w:eastAsia="Calibri" w:hAnsi="Calibri"/>
          <w:color w:val="1F2937"/>
          <w:sz w:val="22"/>
          <w:szCs w:val="22"/>
        </w:rPr>
        <w:t xml:space="preserve">Éviter toute standardisation excessive : 'aucune organisation standard ne peut répondre à toutes les situations'</w:t>
      </w:r>
    </w:p>
    <w:p>
      <w:pPr>
        <w:pStyle w:val="ListParagraph"/>
        <w:numPr>
          <w:ilvl w:val="0"/>
          <w:numId w:val="2"/>
        </w:numPr>
        <w:spacing w:after="40"/>
      </w:pPr>
      <w:r>
        <w:rPr>
          <w:rFonts w:ascii="Calibri" w:cs="Calibri" w:eastAsia="Calibri" w:hAnsi="Calibri"/>
          <w:color w:val="1F2937"/>
          <w:sz w:val="22"/>
          <w:szCs w:val="22"/>
        </w:rPr>
        <w:t xml:space="preserve">Assurer une articulation efficace entre le professionnel tiers, l'ASE et la justice</w:t>
      </w:r>
    </w:p>
    <w:p>
      <w:pPr>
        <w:pStyle w:val="ListParagraph"/>
        <w:numPr>
          <w:ilvl w:val="0"/>
          <w:numId w:val="2"/>
        </w:numPr>
        <w:spacing w:after="40"/>
      </w:pPr>
      <w:r>
        <w:rPr>
          <w:rFonts w:ascii="Calibri" w:cs="Calibri" w:eastAsia="Calibri" w:hAnsi="Calibri"/>
          <w:color w:val="1F2937"/>
          <w:sz w:val="22"/>
          <w:szCs w:val="22"/>
        </w:rPr>
        <w:t xml:space="preserve">Identifier les situations nécessitant une adaptation ou un arrêt de la mesure et les signaler rapidement</w:t>
      </w:r>
    </w:p>
    <w:p>
      <w:pPr>
        <w:pStyle w:val="ListParagraph"/>
        <w:numPr>
          <w:ilvl w:val="0"/>
          <w:numId w:val="2"/>
        </w:numPr>
        <w:spacing w:after="40"/>
      </w:pPr>
      <w:r>
        <w:rPr>
          <w:rFonts w:ascii="Calibri" w:cs="Calibri" w:eastAsia="Calibri" w:hAnsi="Calibri"/>
          <w:color w:val="1F2937"/>
          <w:sz w:val="22"/>
          <w:szCs w:val="22"/>
        </w:rPr>
        <w:t xml:space="preserve">Mettre en place des formations spécifiques aux VPT pour tous les intervenants concernés</w:t>
      </w:r>
    </w:p>
    <w:sectPr>
      <w:pgSz w:w="11906" w:h="16838" w:orient="portrait"/>
      <w:pgMar w:top="40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2026-04-07T19:33:02.756Z</dcterms:created>
  <dcterms:modified xsi:type="dcterms:W3CDTF">2026-04-07T19:33:02.756Z</dcterms:modified>
</cp:coreProperties>
</file>

<file path=docProps/custom.xml><?xml version="1.0" encoding="utf-8"?>
<Properties xmlns="http://schemas.openxmlformats.org/officeDocument/2006/custom-properties" xmlns:vt="http://schemas.openxmlformats.org/officeDocument/2006/docPropsVTypes"/>
</file>