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00"/>
        <w:jc w:val="center"/>
      </w:pPr>
      <w:r>
        <w:rPr>
          <w:rFonts w:ascii="Times New Roman" w:cs="Times New Roman" w:eastAsia="Times New Roman" w:hAnsi="Times New Roman"/>
          <w:b/>
          <w:bCs/>
          <w:color w:val="1B3A6B"/>
          <w:sz w:val="52"/>
          <w:szCs w:val="52"/>
        </w:rPr>
        <w:t xml:space="preserve">Leçon Psychopathologie clinique n°11</w:t>
      </w:r>
    </w:p>
    <w:p>
      <w:pPr>
        <w:pStyle w:val="Heading1"/>
        <w:spacing w:after="160" w:before="200"/>
        <w:jc w:val="center"/>
      </w:pPr>
      <w:r>
        <w:rPr>
          <w:rFonts w:ascii="Times New Roman" w:cs="Times New Roman" w:eastAsia="Times New Roman" w:hAnsi="Times New Roman"/>
          <w:b/>
          <w:bCs/>
          <w:color w:val="1B3A6B"/>
          <w:sz w:val="52"/>
          <w:szCs w:val="52"/>
        </w:rPr>
        <w:t xml:space="preserve">Addictions et troubles liés à l'usage de substances</w:t>
      </w:r>
    </w:p>
    <w:p>
      <w:pPr>
        <w:spacing w:after="60" w:before="80"/>
        <w:jc w:val="center"/>
      </w:pPr>
      <w:r>
        <w:rPr>
          <w:rFonts w:ascii="Times New Roman" w:cs="Times New Roman" w:eastAsia="Times New Roman" w:hAnsi="Times New Roman"/>
          <w:color w:val="1B3A6B"/>
          <w:sz w:val="22"/>
          <w:szCs w:val="22"/>
        </w:rPr>
        <w:t xml:space="preserve">17 août 2026  •  Leçon 11 / 20</w:t>
      </w:r>
    </w:p>
    <w:p>
      <w:pPr>
        <w:pBdr>
          <w:bottom w:val="single" w:color="EEF2F7" w:sz="4"/>
        </w:pBdr>
        <w:spacing w:after="120" w:before="120"/>
      </w:pPr>
      <w:r>
        <w:t xml:space="preserve"/>
      </w:r>
    </w:p>
    <w:p>
      <w:pPr>
        <w:pStyle w:val="Heading2"/>
        <w:spacing w:after="120" w:before="280"/>
      </w:pPr>
      <w:r>
        <w:rPr>
          <w:rFonts w:ascii="Times New Roman" w:cs="Times New Roman" w:eastAsia="Times New Roman" w:hAnsi="Times New Roman"/>
          <w:b/>
          <w:bCs/>
          <w:color w:val="1B3A6B"/>
          <w:sz w:val="30"/>
          <w:szCs w:val="30"/>
        </w:rPr>
        <w:t xml:space="preserve">🎯 Objectif et continuité du parcours</w:t>
      </w:r>
    </w:p>
    <w:p>
      <w:pPr>
        <w:spacing w:after="60" w:before="60"/>
      </w:pPr>
      <w:r>
        <w:rPr>
          <w:rFonts w:ascii="Times New Roman" w:cs="Times New Roman" w:eastAsia="Times New Roman" w:hAnsi="Times New Roman"/>
          <w:b w:val="false"/>
          <w:bCs w:val="false"/>
          <w:i w:val="false"/>
          <w:iCs w:val="false"/>
          <w:color w:val="1F2937"/>
          <w:sz w:val="22"/>
          <w:szCs w:val="22"/>
        </w:rPr>
        <w:t xml:space="preserve">À l'issue de cette leçon, tu seras capable de :</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distinguer les principaux concepts (usage, usage nocif, dépendance, trouble de l'usage) tels que les définissent le DSM-5 et la CIM-11 ;</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identifier les 11 critères diagnostiques du DSM-5 et les 3 niveaux de sévérité ;</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reconnaître les mécanismes neurobiologiques communs aux addictions avec et sans substance ;</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analyser une vignette clinique addictologique avec un regard non stigmatisant, centré sur la personne.</w:t>
      </w:r>
    </w:p>
    <w:p>
      <w:r>
        <w:t xml:space="preserve"/>
      </w:r>
    </w:p>
    <w:p>
      <w:pPr>
        <w:shd w:fill="F3F4F6" w:color="auto" w:val="clear"/>
        <w:spacing w:after="100" w:before="100"/>
        <w:ind w:left="431" w:right="431"/>
      </w:pPr>
      <w:r>
        <w:rPr>
          <w:rFonts w:ascii="Times New Roman" w:cs="Times New Roman" w:eastAsia="Times New Roman" w:hAnsi="Times New Roman"/>
          <w:color w:val="1F2937"/>
          <w:sz w:val="22"/>
          <w:szCs w:val="22"/>
        </w:rPr>
        <w:t xml:space="preserve">Lien avec la leçon précédente (n°10 — Troubles des conduites alimentaires) : les TCA partagent avec les addictions le modèle du circuit de la récompense, le craving, la perte de contrôle et les comportements de restriction/compensation. Cette leçon prolonge cette réflexion sur les comportements compulsifs en l'élargissant aux substances psychoactives et aux addictions comportementales.</w:t>
      </w:r>
    </w:p>
    <w:p>
      <w:pPr>
        <w:pBdr>
          <w:bottom w:val="single" w:color="EEF2F7" w:sz="4"/>
        </w:pBdr>
        <w:spacing w:after="120" w:before="120"/>
      </w:pPr>
      <w:r>
        <w:t xml:space="preserve"/>
      </w:r>
    </w:p>
    <w:p>
      <w:pPr>
        <w:pStyle w:val="Heading2"/>
        <w:spacing w:after="120" w:before="280"/>
      </w:pPr>
      <w:r>
        <w:rPr>
          <w:rFonts w:ascii="Times New Roman" w:cs="Times New Roman" w:eastAsia="Times New Roman" w:hAnsi="Times New Roman"/>
          <w:b/>
          <w:bCs/>
          <w:color w:val="1B3A6B"/>
          <w:sz w:val="30"/>
          <w:szCs w:val="30"/>
        </w:rPr>
        <w:t xml:space="preserve">⚠️ Rappel déontologique</w:t>
      </w:r>
    </w:p>
    <w:p>
      <w:pPr>
        <w:shd w:fill="F3F4F6" w:color="auto" w:val="clear"/>
        <w:spacing w:after="80" w:before="80"/>
        <w:ind w:left="576" w:right="576"/>
      </w:pPr>
      <w:r>
        <w:rPr>
          <w:rFonts w:ascii="Times New Roman" w:cs="Times New Roman" w:eastAsia="Times New Roman" w:hAnsi="Times New Roman"/>
          <w:i/>
          <w:iCs/>
          <w:color w:val="1B3A6B"/>
          <w:sz w:val="22"/>
          <w:szCs w:val="22"/>
        </w:rPr>
        <w:t xml:space="preserve">Ces leçons visent à comprendre la psychopathologie pour mieux observer, accompagner et orienter — en aucun cas à poser un diagnostic, acte réservé aux médecins psychiatres et aux psychologues cliniciens.</w:t>
      </w:r>
    </w:p>
    <w:p>
      <w:pPr>
        <w:spacing w:after="60" w:before="60"/>
      </w:pPr>
      <w:r>
        <w:rPr>
          <w:rFonts w:ascii="Times New Roman" w:cs="Times New Roman" w:eastAsia="Times New Roman" w:hAnsi="Times New Roman"/>
          <w:b w:val="false"/>
          <w:bCs w:val="false"/>
          <w:i w:val="false"/>
          <w:iCs w:val="false"/>
          <w:color w:val="1F2937"/>
          <w:sz w:val="22"/>
          <w:szCs w:val="22"/>
        </w:rPr>
        <w:t xml:space="preserve">Dans le champ des addictions, ce rappel est particulièrement important : l'étiquette « addict » ou « dépendant » appliquée sans démarche diagnostique rigoureuse est stigmatisante et peut nuire à l'accompagnement. La posture de non-jugement, centrée sur la personne et le rétablissement, est le fil conducteur de cette leçon.</w:t>
      </w:r>
    </w:p>
    <w:p>
      <w:pPr>
        <w:pBdr>
          <w:bottom w:val="single" w:color="EEF2F7" w:sz="4"/>
        </w:pBdr>
        <w:spacing w:after="120" w:before="120"/>
      </w:pPr>
      <w:r>
        <w:t xml:space="preserve"/>
      </w:r>
    </w:p>
    <w:p>
      <w:pPr>
        <w:pStyle w:val="Heading2"/>
        <w:spacing w:after="120" w:before="280"/>
      </w:pPr>
      <w:r>
        <w:rPr>
          <w:rFonts w:ascii="Times New Roman" w:cs="Times New Roman" w:eastAsia="Times New Roman" w:hAnsi="Times New Roman"/>
          <w:b/>
          <w:bCs/>
          <w:color w:val="1B3A6B"/>
          <w:sz w:val="30"/>
          <w:szCs w:val="30"/>
        </w:rPr>
        <w:t xml:space="preserve">🔬 Théorie (20 %)</w:t>
      </w:r>
    </w:p>
    <w:p>
      <w:pPr>
        <w:pStyle w:val="Heading3"/>
        <w:spacing w:after="80" w:before="200"/>
      </w:pPr>
      <w:r>
        <w:rPr>
          <w:rFonts w:ascii="Times New Roman" w:cs="Times New Roman" w:eastAsia="Times New Roman" w:hAnsi="Times New Roman"/>
          <w:b/>
          <w:bCs/>
          <w:color w:val="1F2937"/>
          <w:sz w:val="26"/>
          <w:szCs w:val="26"/>
        </w:rPr>
        <w:t xml:space="preserve">1. Définitions fondamentales</w:t>
      </w:r>
    </w:p>
    <w:p>
      <w:pPr>
        <w:spacing w:after="60" w:before="60"/>
      </w:pPr>
      <w:r>
        <w:rPr>
          <w:rFonts w:ascii="Times New Roman" w:cs="Times New Roman" w:eastAsia="Times New Roman" w:hAnsi="Times New Roman"/>
          <w:b w:val="false"/>
          <w:bCs w:val="false"/>
          <w:i w:val="false"/>
          <w:iCs w:val="false"/>
          <w:color w:val="1F2937"/>
          <w:sz w:val="22"/>
          <w:szCs w:val="22"/>
        </w:rPr>
        <w:t xml:space="preserve">Le champ de l'addictologie a connu une évolution terminologique majeure au fil des classifications. Voici les concepts essentiels :</w:t>
      </w:r>
    </w:p>
    <w:p>
      <w:r>
        <w:t xml:space="preserve"/>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Usage : consommation d'une substance sans conséquence délétère identifiable.</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Usage nocif (CIM-11) / Abus (CIM-10) : mode de consommation entraînant des conséquences négatives sur la santé physique, mentale ou le fonctionnement social, sans critère de dépendance.</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Dépendance (CIM-11) : syndrome caractérisé par un sentiment puissant de désir ou de compulsion à consommer, des difficultés à contrôler l'usage, un syndrome de sevrage à l'arrêt, une tolérance, un désinvestissement progressif d'autres activités, et la poursuite de la consommation malgré des conséquences délétères clairement identifiées. Au moins 3 critères sur 6 doivent être présents.</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Trouble de l'usage (DSM-5) : catégorie unifiée qui remplace et fusionne les anciens « abus » et « dépendance » du DSM-IV. Mesuré par 11 critères, il est gradué en léger (2-3 critères), modéré (4-5) et sévère (6+).</w:t>
      </w:r>
    </w:p>
    <w:p>
      <w:r>
        <w:t xml:space="preserve"/>
      </w:r>
    </w:p>
    <w:p>
      <w:pPr>
        <w:shd w:fill="F3F4F6" w:color="auto" w:val="clear"/>
        <w:spacing w:after="80" w:before="80"/>
        <w:ind w:left="576" w:right="576"/>
      </w:pPr>
      <w:r>
        <w:rPr>
          <w:rFonts w:ascii="Times New Roman" w:cs="Times New Roman" w:eastAsia="Times New Roman" w:hAnsi="Times New Roman"/>
          <w:i/>
          <w:iCs/>
          <w:color w:val="1B3A6B"/>
          <w:sz w:val="22"/>
          <w:szCs w:val="22"/>
        </w:rPr>
        <w:t xml:space="preserve">Selon l'OFDT, le trouble de l'usage se définit comme « un mode pathologique de comportements lié à la consommation d'une substance, conduisant à une altération du fonctionnement ou à une souffrance cliniquement significative. »</w:t>
      </w:r>
    </w:p>
    <w:p>
      <w:r>
        <w:t xml:space="preserve"/>
      </w:r>
    </w:p>
    <w:p>
      <w:pPr>
        <w:pStyle w:val="Heading3"/>
        <w:spacing w:after="80" w:before="200"/>
      </w:pPr>
      <w:r>
        <w:rPr>
          <w:rFonts w:ascii="Times New Roman" w:cs="Times New Roman" w:eastAsia="Times New Roman" w:hAnsi="Times New Roman"/>
          <w:b/>
          <w:bCs/>
          <w:color w:val="1F2937"/>
          <w:sz w:val="26"/>
          <w:szCs w:val="26"/>
        </w:rPr>
        <w:t xml:space="preserve">2. Les 11 critères diagnostiques du DSM-5</w:t>
      </w:r>
    </w:p>
    <w:p>
      <w:pPr>
        <w:spacing w:after="60" w:before="60"/>
      </w:pPr>
      <w:r>
        <w:rPr>
          <w:rFonts w:ascii="Times New Roman" w:cs="Times New Roman" w:eastAsia="Times New Roman" w:hAnsi="Times New Roman"/>
          <w:b w:val="false"/>
          <w:bCs w:val="false"/>
          <w:i w:val="false"/>
          <w:iCs w:val="false"/>
          <w:color w:val="1F2937"/>
          <w:sz w:val="22"/>
          <w:szCs w:val="22"/>
        </w:rPr>
        <w:t xml:space="preserve">Le DSM-5 structure le diagnostic autour de 11 critères répartis en 4 groupes fonctionnels :</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0%"/>
            <w:shd w:fill="1B3A6B" w:color="auto" w:val="clear"/>
          </w:tcPr>
          <w:p>
            <w:pPr>
              <w:jc w:val="center"/>
            </w:pPr>
            <w:r>
              <w:rPr>
                <w:rFonts w:ascii="Times New Roman" w:cs="Times New Roman" w:eastAsia="Times New Roman" w:hAnsi="Times New Roman"/>
                <w:b/>
                <w:bCs/>
                <w:color w:val="FFFFFF"/>
                <w:sz w:val="20"/>
                <w:szCs w:val="20"/>
              </w:rPr>
              <w:t xml:space="preserve">N°</w:t>
            </w:r>
          </w:p>
        </w:tc>
        <w:tc>
          <w:tcPr>
            <w:tcW w:type="pct" w:w="22%"/>
            <w:shd w:fill="1B3A6B" w:color="auto" w:val="clear"/>
          </w:tcPr>
          <w:p>
            <w:r>
              <w:rPr>
                <w:rFonts w:ascii="Times New Roman" w:cs="Times New Roman" w:eastAsia="Times New Roman" w:hAnsi="Times New Roman"/>
                <w:b/>
                <w:bCs/>
                <w:color w:val="FFFFFF"/>
                <w:sz w:val="20"/>
                <w:szCs w:val="20"/>
              </w:rPr>
              <w:t xml:space="preserve">Groupe</w:t>
            </w:r>
          </w:p>
        </w:tc>
        <w:tc>
          <w:tcPr>
            <w:tcW w:type="pct" w:w="70%"/>
            <w:shd w:fill="1B3A6B" w:color="auto" w:val="clear"/>
          </w:tcPr>
          <w:p>
            <w:r>
              <w:rPr>
                <w:rFonts w:ascii="Times New Roman" w:cs="Times New Roman" w:eastAsia="Times New Roman" w:hAnsi="Times New Roman"/>
                <w:b/>
                <w:bCs/>
                <w:color w:val="FFFFFF"/>
                <w:sz w:val="20"/>
                <w:szCs w:val="20"/>
              </w:rPr>
              <w:t xml:space="preserve">Critère (résumé)</w:t>
            </w:r>
          </w:p>
        </w:tc>
      </w:tr>
      <w:tr>
        <w:tc>
          <w:tcPr>
            <w:tcW w:type="pct" w:w="8%"/>
          </w:tcPr>
          <w:p>
            <w:pPr>
              <w:jc w:val="center"/>
            </w:pPr>
            <w:r>
              <w:rPr>
                <w:rFonts w:ascii="Times New Roman" w:cs="Times New Roman" w:eastAsia="Times New Roman" w:hAnsi="Times New Roman"/>
                <w:b/>
                <w:bCs/>
                <w:color w:val="1B3A6B"/>
                <w:sz w:val="20"/>
                <w:szCs w:val="20"/>
              </w:rPr>
              <w:t xml:space="preserve">1</w:t>
            </w:r>
          </w:p>
        </w:tc>
        <w:tc>
          <w:tcPr>
            <w:tcW w:type="pct" w:w="22%"/>
          </w:tcPr>
          <w:p>
            <w:r>
              <w:rPr>
                <w:rFonts w:ascii="Times New Roman" w:cs="Times New Roman" w:eastAsia="Times New Roman" w:hAnsi="Times New Roman"/>
                <w:b/>
                <w:bCs/>
                <w:color w:val="1F2937"/>
                <w:sz w:val="20"/>
                <w:szCs w:val="20"/>
              </w:rPr>
              <w:t xml:space="preserve">Perte de contrôle</w:t>
            </w:r>
          </w:p>
        </w:tc>
        <w:tc>
          <w:tcPr>
            <w:tcW w:type="pct" w:w="70%"/>
          </w:tcPr>
          <w:p>
            <w:r>
              <w:rPr>
                <w:rFonts w:ascii="Times New Roman" w:cs="Times New Roman" w:eastAsia="Times New Roman" w:hAnsi="Times New Roman"/>
                <w:color w:val="1F2937"/>
                <w:sz w:val="20"/>
                <w:szCs w:val="20"/>
              </w:rPr>
              <w:t xml:space="preserve">Consommation en quantités ou sur une durée plus importantes que prévu</w:t>
            </w:r>
          </w:p>
        </w:tc>
      </w:tr>
      <w:tr>
        <w:tc>
          <w:tcPr>
            <w:tcW w:type="pct" w:w="8%"/>
            <w:shd w:fill="EEF2F7" w:color="auto" w:val="clear"/>
          </w:tcPr>
          <w:p>
            <w:pPr>
              <w:jc w:val="center"/>
            </w:pPr>
            <w:r>
              <w:rPr>
                <w:rFonts w:ascii="Times New Roman" w:cs="Times New Roman" w:eastAsia="Times New Roman" w:hAnsi="Times New Roman"/>
                <w:b/>
                <w:bCs/>
                <w:color w:val="1B3A6B"/>
                <w:sz w:val="20"/>
                <w:szCs w:val="20"/>
              </w:rPr>
              <w:t xml:space="preserve">2</w:t>
            </w:r>
          </w:p>
        </w:tc>
        <w:tc>
          <w:tcPr>
            <w:tcW w:type="pct" w:w="22%"/>
            <w:shd w:fill="EEF2F7" w:color="auto" w:val="clear"/>
          </w:tcPr>
          <w:p>
            <w:r>
              <w:rPr>
                <w:rFonts w:ascii="Times New Roman" w:cs="Times New Roman" w:eastAsia="Times New Roman" w:hAnsi="Times New Roman"/>
                <w:b/>
                <w:bCs/>
                <w:color w:val="1F2937"/>
                <w:sz w:val="20"/>
                <w:szCs w:val="20"/>
              </w:rPr>
              <w:t xml:space="preserve">Perte de contrôle</w:t>
            </w:r>
          </w:p>
        </w:tc>
        <w:tc>
          <w:tcPr>
            <w:tcW w:type="pct" w:w="70%"/>
            <w:shd w:fill="EEF2F7" w:color="auto" w:val="clear"/>
          </w:tcPr>
          <w:p>
            <w:r>
              <w:rPr>
                <w:rFonts w:ascii="Times New Roman" w:cs="Times New Roman" w:eastAsia="Times New Roman" w:hAnsi="Times New Roman"/>
                <w:color w:val="1F2937"/>
                <w:sz w:val="20"/>
                <w:szCs w:val="20"/>
              </w:rPr>
              <w:t xml:space="preserve">Désir persistant ou efforts infructueux pour réduire</w:t>
            </w:r>
          </w:p>
        </w:tc>
      </w:tr>
      <w:tr>
        <w:tc>
          <w:tcPr>
            <w:tcW w:type="pct" w:w="8%"/>
          </w:tcPr>
          <w:p>
            <w:pPr>
              <w:jc w:val="center"/>
            </w:pPr>
            <w:r>
              <w:rPr>
                <w:rFonts w:ascii="Times New Roman" w:cs="Times New Roman" w:eastAsia="Times New Roman" w:hAnsi="Times New Roman"/>
                <w:b/>
                <w:bCs/>
                <w:color w:val="1B3A6B"/>
                <w:sz w:val="20"/>
                <w:szCs w:val="20"/>
              </w:rPr>
              <w:t xml:space="preserve">3</w:t>
            </w:r>
          </w:p>
        </w:tc>
        <w:tc>
          <w:tcPr>
            <w:tcW w:type="pct" w:w="22%"/>
          </w:tcPr>
          <w:p>
            <w:r>
              <w:rPr>
                <w:rFonts w:ascii="Times New Roman" w:cs="Times New Roman" w:eastAsia="Times New Roman" w:hAnsi="Times New Roman"/>
                <w:b/>
                <w:bCs/>
                <w:color w:val="1F2937"/>
                <w:sz w:val="20"/>
                <w:szCs w:val="20"/>
              </w:rPr>
              <w:t xml:space="preserve">Perte de contrôle</w:t>
            </w:r>
          </w:p>
        </w:tc>
        <w:tc>
          <w:tcPr>
            <w:tcW w:type="pct" w:w="70%"/>
          </w:tcPr>
          <w:p>
            <w:r>
              <w:rPr>
                <w:rFonts w:ascii="Times New Roman" w:cs="Times New Roman" w:eastAsia="Times New Roman" w:hAnsi="Times New Roman"/>
                <w:color w:val="1F2937"/>
                <w:sz w:val="20"/>
                <w:szCs w:val="20"/>
              </w:rPr>
              <w:t xml:space="preserve">Temps considérable consacré à obtenir, consommer, récupérer</w:t>
            </w:r>
          </w:p>
        </w:tc>
      </w:tr>
      <w:tr>
        <w:tc>
          <w:tcPr>
            <w:tcW w:type="pct" w:w="8%"/>
            <w:shd w:fill="EEF2F7" w:color="auto" w:val="clear"/>
          </w:tcPr>
          <w:p>
            <w:pPr>
              <w:jc w:val="center"/>
            </w:pPr>
            <w:r>
              <w:rPr>
                <w:rFonts w:ascii="Times New Roman" w:cs="Times New Roman" w:eastAsia="Times New Roman" w:hAnsi="Times New Roman"/>
                <w:b/>
                <w:bCs/>
                <w:color w:val="1B3A6B"/>
                <w:sz w:val="20"/>
                <w:szCs w:val="20"/>
              </w:rPr>
              <w:t xml:space="preserve">4</w:t>
            </w:r>
          </w:p>
        </w:tc>
        <w:tc>
          <w:tcPr>
            <w:tcW w:type="pct" w:w="22%"/>
            <w:shd w:fill="EEF2F7" w:color="auto" w:val="clear"/>
          </w:tcPr>
          <w:p>
            <w:r>
              <w:rPr>
                <w:rFonts w:ascii="Times New Roman" w:cs="Times New Roman" w:eastAsia="Times New Roman" w:hAnsi="Times New Roman"/>
                <w:b/>
                <w:bCs/>
                <w:color w:val="1F2937"/>
                <w:sz w:val="20"/>
                <w:szCs w:val="20"/>
              </w:rPr>
              <w:t xml:space="preserve">Perte de contrôle</w:t>
            </w:r>
          </w:p>
        </w:tc>
        <w:tc>
          <w:tcPr>
            <w:tcW w:type="pct" w:w="70%"/>
            <w:shd w:fill="EEF2F7" w:color="auto" w:val="clear"/>
          </w:tcPr>
          <w:p>
            <w:r>
              <w:rPr>
                <w:rFonts w:ascii="Times New Roman" w:cs="Times New Roman" w:eastAsia="Times New Roman" w:hAnsi="Times New Roman"/>
                <w:color w:val="1F2937"/>
                <w:sz w:val="20"/>
                <w:szCs w:val="20"/>
              </w:rPr>
              <w:t xml:space="preserve">Craving : envie impérieuse ou compulsion à consommer</w:t>
            </w:r>
          </w:p>
        </w:tc>
      </w:tr>
      <w:tr>
        <w:tc>
          <w:tcPr>
            <w:tcW w:type="pct" w:w="8%"/>
          </w:tcPr>
          <w:p>
            <w:pPr>
              <w:jc w:val="center"/>
            </w:pPr>
            <w:r>
              <w:rPr>
                <w:rFonts w:ascii="Times New Roman" w:cs="Times New Roman" w:eastAsia="Times New Roman" w:hAnsi="Times New Roman"/>
                <w:b/>
                <w:bCs/>
                <w:color w:val="1B3A6B"/>
                <w:sz w:val="20"/>
                <w:szCs w:val="20"/>
              </w:rPr>
              <w:t xml:space="preserve">5</w:t>
            </w:r>
          </w:p>
        </w:tc>
        <w:tc>
          <w:tcPr>
            <w:tcW w:type="pct" w:w="22%"/>
          </w:tcPr>
          <w:p>
            <w:r>
              <w:rPr>
                <w:rFonts w:ascii="Times New Roman" w:cs="Times New Roman" w:eastAsia="Times New Roman" w:hAnsi="Times New Roman"/>
                <w:b/>
                <w:bCs/>
                <w:color w:val="1F2937"/>
                <w:sz w:val="20"/>
                <w:szCs w:val="20"/>
              </w:rPr>
              <w:t xml:space="preserve">Dysfonction sociale</w:t>
            </w:r>
          </w:p>
        </w:tc>
        <w:tc>
          <w:tcPr>
            <w:tcW w:type="pct" w:w="70%"/>
          </w:tcPr>
          <w:p>
            <w:r>
              <w:rPr>
                <w:rFonts w:ascii="Times New Roman" w:cs="Times New Roman" w:eastAsia="Times New Roman" w:hAnsi="Times New Roman"/>
                <w:color w:val="1F2937"/>
                <w:sz w:val="20"/>
                <w:szCs w:val="20"/>
              </w:rPr>
              <w:t xml:space="preserve">Manquements aux obligations majeures (travail, famille…)</w:t>
            </w:r>
          </w:p>
        </w:tc>
      </w:tr>
      <w:tr>
        <w:tc>
          <w:tcPr>
            <w:tcW w:type="pct" w:w="8%"/>
            <w:shd w:fill="EEF2F7" w:color="auto" w:val="clear"/>
          </w:tcPr>
          <w:p>
            <w:pPr>
              <w:jc w:val="center"/>
            </w:pPr>
            <w:r>
              <w:rPr>
                <w:rFonts w:ascii="Times New Roman" w:cs="Times New Roman" w:eastAsia="Times New Roman" w:hAnsi="Times New Roman"/>
                <w:b/>
                <w:bCs/>
                <w:color w:val="1B3A6B"/>
                <w:sz w:val="20"/>
                <w:szCs w:val="20"/>
              </w:rPr>
              <w:t xml:space="preserve">6</w:t>
            </w:r>
          </w:p>
        </w:tc>
        <w:tc>
          <w:tcPr>
            <w:tcW w:type="pct" w:w="22%"/>
            <w:shd w:fill="EEF2F7" w:color="auto" w:val="clear"/>
          </w:tcPr>
          <w:p>
            <w:r>
              <w:rPr>
                <w:rFonts w:ascii="Times New Roman" w:cs="Times New Roman" w:eastAsia="Times New Roman" w:hAnsi="Times New Roman"/>
                <w:b/>
                <w:bCs/>
                <w:color w:val="1F2937"/>
                <w:sz w:val="20"/>
                <w:szCs w:val="20"/>
              </w:rPr>
              <w:t xml:space="preserve">Dysfonction sociale</w:t>
            </w:r>
          </w:p>
        </w:tc>
        <w:tc>
          <w:tcPr>
            <w:tcW w:type="pct" w:w="70%"/>
            <w:shd w:fill="EEF2F7" w:color="auto" w:val="clear"/>
          </w:tcPr>
          <w:p>
            <w:r>
              <w:rPr>
                <w:rFonts w:ascii="Times New Roman" w:cs="Times New Roman" w:eastAsia="Times New Roman" w:hAnsi="Times New Roman"/>
                <w:color w:val="1F2937"/>
                <w:sz w:val="20"/>
                <w:szCs w:val="20"/>
              </w:rPr>
              <w:t xml:space="preserve">Problèmes interpersonnels ou sociaux persistants non résolus</w:t>
            </w:r>
          </w:p>
        </w:tc>
      </w:tr>
      <w:tr>
        <w:tc>
          <w:tcPr>
            <w:tcW w:type="pct" w:w="8%"/>
          </w:tcPr>
          <w:p>
            <w:pPr>
              <w:jc w:val="center"/>
            </w:pPr>
            <w:r>
              <w:rPr>
                <w:rFonts w:ascii="Times New Roman" w:cs="Times New Roman" w:eastAsia="Times New Roman" w:hAnsi="Times New Roman"/>
                <w:b/>
                <w:bCs/>
                <w:color w:val="1B3A6B"/>
                <w:sz w:val="20"/>
                <w:szCs w:val="20"/>
              </w:rPr>
              <w:t xml:space="preserve">7</w:t>
            </w:r>
          </w:p>
        </w:tc>
        <w:tc>
          <w:tcPr>
            <w:tcW w:type="pct" w:w="22%"/>
          </w:tcPr>
          <w:p>
            <w:r>
              <w:rPr>
                <w:rFonts w:ascii="Times New Roman" w:cs="Times New Roman" w:eastAsia="Times New Roman" w:hAnsi="Times New Roman"/>
                <w:b/>
                <w:bCs/>
                <w:color w:val="1F2937"/>
                <w:sz w:val="20"/>
                <w:szCs w:val="20"/>
              </w:rPr>
              <w:t xml:space="preserve">Dysfonction sociale</w:t>
            </w:r>
          </w:p>
        </w:tc>
        <w:tc>
          <w:tcPr>
            <w:tcW w:type="pct" w:w="70%"/>
          </w:tcPr>
          <w:p>
            <w:r>
              <w:rPr>
                <w:rFonts w:ascii="Times New Roman" w:cs="Times New Roman" w:eastAsia="Times New Roman" w:hAnsi="Times New Roman"/>
                <w:color w:val="1F2937"/>
                <w:sz w:val="20"/>
                <w:szCs w:val="20"/>
              </w:rPr>
              <w:t xml:space="preserve">Abandon d'activités importantes (sociales, professionnelles, loisirs)</w:t>
            </w:r>
          </w:p>
        </w:tc>
      </w:tr>
      <w:tr>
        <w:tc>
          <w:tcPr>
            <w:tcW w:type="pct" w:w="8%"/>
            <w:shd w:fill="EEF2F7" w:color="auto" w:val="clear"/>
          </w:tcPr>
          <w:p>
            <w:pPr>
              <w:jc w:val="center"/>
            </w:pPr>
            <w:r>
              <w:rPr>
                <w:rFonts w:ascii="Times New Roman" w:cs="Times New Roman" w:eastAsia="Times New Roman" w:hAnsi="Times New Roman"/>
                <w:b/>
                <w:bCs/>
                <w:color w:val="1B3A6B"/>
                <w:sz w:val="20"/>
                <w:szCs w:val="20"/>
              </w:rPr>
              <w:t xml:space="preserve">8</w:t>
            </w:r>
          </w:p>
        </w:tc>
        <w:tc>
          <w:tcPr>
            <w:tcW w:type="pct" w:w="22%"/>
            <w:shd w:fill="EEF2F7" w:color="auto" w:val="clear"/>
          </w:tcPr>
          <w:p>
            <w:r>
              <w:rPr>
                <w:rFonts w:ascii="Times New Roman" w:cs="Times New Roman" w:eastAsia="Times New Roman" w:hAnsi="Times New Roman"/>
                <w:b/>
                <w:bCs/>
                <w:color w:val="1F2937"/>
                <w:sz w:val="20"/>
                <w:szCs w:val="20"/>
              </w:rPr>
              <w:t xml:space="preserve">Usage risqué</w:t>
            </w:r>
          </w:p>
        </w:tc>
        <w:tc>
          <w:tcPr>
            <w:tcW w:type="pct" w:w="70%"/>
            <w:shd w:fill="EEF2F7" w:color="auto" w:val="clear"/>
          </w:tcPr>
          <w:p>
            <w:r>
              <w:rPr>
                <w:rFonts w:ascii="Times New Roman" w:cs="Times New Roman" w:eastAsia="Times New Roman" w:hAnsi="Times New Roman"/>
                <w:color w:val="1F2937"/>
                <w:sz w:val="20"/>
                <w:szCs w:val="20"/>
              </w:rPr>
              <w:t xml:space="preserve">Usage dans des situations physiquement dangereuses</w:t>
            </w:r>
          </w:p>
        </w:tc>
      </w:tr>
      <w:tr>
        <w:tc>
          <w:tcPr>
            <w:tcW w:type="pct" w:w="8%"/>
          </w:tcPr>
          <w:p>
            <w:pPr>
              <w:jc w:val="center"/>
            </w:pPr>
            <w:r>
              <w:rPr>
                <w:rFonts w:ascii="Times New Roman" w:cs="Times New Roman" w:eastAsia="Times New Roman" w:hAnsi="Times New Roman"/>
                <w:b/>
                <w:bCs/>
                <w:color w:val="1B3A6B"/>
                <w:sz w:val="20"/>
                <w:szCs w:val="20"/>
              </w:rPr>
              <w:t xml:space="preserve">9</w:t>
            </w:r>
          </w:p>
        </w:tc>
        <w:tc>
          <w:tcPr>
            <w:tcW w:type="pct" w:w="22%"/>
          </w:tcPr>
          <w:p>
            <w:r>
              <w:rPr>
                <w:rFonts w:ascii="Times New Roman" w:cs="Times New Roman" w:eastAsia="Times New Roman" w:hAnsi="Times New Roman"/>
                <w:b/>
                <w:bCs/>
                <w:color w:val="1F2937"/>
                <w:sz w:val="20"/>
                <w:szCs w:val="20"/>
              </w:rPr>
              <w:t xml:space="preserve">Usage risqué</w:t>
            </w:r>
          </w:p>
        </w:tc>
        <w:tc>
          <w:tcPr>
            <w:tcW w:type="pct" w:w="70%"/>
          </w:tcPr>
          <w:p>
            <w:r>
              <w:rPr>
                <w:rFonts w:ascii="Times New Roman" w:cs="Times New Roman" w:eastAsia="Times New Roman" w:hAnsi="Times New Roman"/>
                <w:color w:val="1F2937"/>
                <w:sz w:val="20"/>
                <w:szCs w:val="20"/>
              </w:rPr>
              <w:t xml:space="preserve">Poursuite malgré la connaissance de problèmes physiques/psychologiques persistants</w:t>
            </w:r>
          </w:p>
        </w:tc>
      </w:tr>
      <w:tr>
        <w:tc>
          <w:tcPr>
            <w:tcW w:type="pct" w:w="8%"/>
            <w:shd w:fill="EEF2F7" w:color="auto" w:val="clear"/>
          </w:tcPr>
          <w:p>
            <w:pPr>
              <w:jc w:val="center"/>
            </w:pPr>
            <w:r>
              <w:rPr>
                <w:rFonts w:ascii="Times New Roman" w:cs="Times New Roman" w:eastAsia="Times New Roman" w:hAnsi="Times New Roman"/>
                <w:b/>
                <w:bCs/>
                <w:color w:val="1B3A6B"/>
                <w:sz w:val="20"/>
                <w:szCs w:val="20"/>
              </w:rPr>
              <w:t xml:space="preserve">10</w:t>
            </w:r>
          </w:p>
        </w:tc>
        <w:tc>
          <w:tcPr>
            <w:tcW w:type="pct" w:w="22%"/>
            <w:shd w:fill="EEF2F7" w:color="auto" w:val="clear"/>
          </w:tcPr>
          <w:p>
            <w:r>
              <w:rPr>
                <w:rFonts w:ascii="Times New Roman" w:cs="Times New Roman" w:eastAsia="Times New Roman" w:hAnsi="Times New Roman"/>
                <w:b/>
                <w:bCs/>
                <w:color w:val="1F2937"/>
                <w:sz w:val="20"/>
                <w:szCs w:val="20"/>
              </w:rPr>
              <w:t xml:space="preserve">Pharmacologie</w:t>
            </w:r>
          </w:p>
        </w:tc>
        <w:tc>
          <w:tcPr>
            <w:tcW w:type="pct" w:w="70%"/>
            <w:shd w:fill="EEF2F7" w:color="auto" w:val="clear"/>
          </w:tcPr>
          <w:p>
            <w:r>
              <w:rPr>
                <w:rFonts w:ascii="Times New Roman" w:cs="Times New Roman" w:eastAsia="Times New Roman" w:hAnsi="Times New Roman"/>
                <w:color w:val="1F2937"/>
                <w:sz w:val="20"/>
                <w:szCs w:val="20"/>
              </w:rPr>
              <w:t xml:space="preserve">Tolérance : besoin de doses croissantes pour l'effet désiré</w:t>
            </w:r>
          </w:p>
        </w:tc>
      </w:tr>
      <w:tr>
        <w:tc>
          <w:tcPr>
            <w:tcW w:type="pct" w:w="8%"/>
          </w:tcPr>
          <w:p>
            <w:pPr>
              <w:jc w:val="center"/>
            </w:pPr>
            <w:r>
              <w:rPr>
                <w:rFonts w:ascii="Times New Roman" w:cs="Times New Roman" w:eastAsia="Times New Roman" w:hAnsi="Times New Roman"/>
                <w:b/>
                <w:bCs/>
                <w:color w:val="1B3A6B"/>
                <w:sz w:val="20"/>
                <w:szCs w:val="20"/>
              </w:rPr>
              <w:t xml:space="preserve">11</w:t>
            </w:r>
          </w:p>
        </w:tc>
        <w:tc>
          <w:tcPr>
            <w:tcW w:type="pct" w:w="22%"/>
          </w:tcPr>
          <w:p>
            <w:r>
              <w:rPr>
                <w:rFonts w:ascii="Times New Roman" w:cs="Times New Roman" w:eastAsia="Times New Roman" w:hAnsi="Times New Roman"/>
                <w:b/>
                <w:bCs/>
                <w:color w:val="1F2937"/>
                <w:sz w:val="20"/>
                <w:szCs w:val="20"/>
              </w:rPr>
              <w:t xml:space="preserve">Pharmacologie</w:t>
            </w:r>
          </w:p>
        </w:tc>
        <w:tc>
          <w:tcPr>
            <w:tcW w:type="pct" w:w="70%"/>
          </w:tcPr>
          <w:p>
            <w:r>
              <w:rPr>
                <w:rFonts w:ascii="Times New Roman" w:cs="Times New Roman" w:eastAsia="Times New Roman" w:hAnsi="Times New Roman"/>
                <w:color w:val="1F2937"/>
                <w:sz w:val="20"/>
                <w:szCs w:val="20"/>
              </w:rPr>
              <w:t xml:space="preserve">Sevrage : syndrome caractéristique ou consommation pour l'éviter</w:t>
            </w:r>
          </w:p>
        </w:tc>
      </w:tr>
    </w:tbl>
    <w:p>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Seuil diagnostique : ≥ 2 critères sur 12 mois. Sévérité : léger (2-3) / modéré (4-5) / sévère (≥ 6).</w:t>
      </w:r>
    </w:p>
    <w:p>
      <w:pPr>
        <w:shd w:fill="F3F4F6" w:color="auto" w:val="clear"/>
        <w:spacing w:after="100" w:before="100"/>
        <w:ind w:left="431" w:right="431"/>
      </w:pPr>
      <w:r>
        <w:rPr>
          <w:rFonts w:ascii="Times New Roman" w:cs="Times New Roman" w:eastAsia="Times New Roman" w:hAnsi="Times New Roman"/>
          <w:color w:val="1F2937"/>
          <w:sz w:val="22"/>
          <w:szCs w:val="22"/>
        </w:rPr>
        <w:t xml:space="preserve">Point d'attention : la tolérance et le sevrage seuls (critères 10 et 11), dans le cadre d'une prescription médicale appropriée, ne suffisent pas à poser le diagnostic. Le contexte d'usage est déterminant.</w:t>
      </w:r>
    </w:p>
    <w:p>
      <w:r>
        <w:t xml:space="preserve"/>
      </w:r>
    </w:p>
    <w:p>
      <w:pPr>
        <w:pStyle w:val="Heading3"/>
        <w:spacing w:after="80" w:before="200"/>
      </w:pPr>
      <w:r>
        <w:rPr>
          <w:rFonts w:ascii="Times New Roman" w:cs="Times New Roman" w:eastAsia="Times New Roman" w:hAnsi="Times New Roman"/>
          <w:b/>
          <w:bCs/>
          <w:color w:val="1F2937"/>
          <w:sz w:val="26"/>
          <w:szCs w:val="26"/>
        </w:rPr>
        <w:t xml:space="preserve">3. DSM-5 vs CIM-11 : convergences et divergences</w:t>
      </w:r>
    </w:p>
    <w:p>
      <w:pPr>
        <w:spacing w:after="60" w:before="60"/>
      </w:pPr>
      <w:r>
        <w:rPr>
          <w:rFonts w:ascii="Times New Roman" w:cs="Times New Roman" w:eastAsia="Times New Roman" w:hAnsi="Times New Roman"/>
          <w:b w:val="false"/>
          <w:bCs w:val="false"/>
          <w:i w:val="false"/>
          <w:iCs w:val="false"/>
          <w:color w:val="1F2937"/>
          <w:sz w:val="22"/>
          <w:szCs w:val="22"/>
        </w:rPr>
        <w:t xml:space="preserve">Les deux classifications coexistent en pratique clinique et en recherche. Leur comparaison éclaire la complexité du champ :</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1B3A6B" w:color="auto" w:val="clear"/>
          </w:tcPr>
          <w:p>
            <w:pPr>
              <w:jc w:val="center"/>
            </w:pPr>
            <w:r>
              <w:rPr>
                <w:rFonts w:ascii="Times New Roman" w:cs="Times New Roman" w:eastAsia="Times New Roman" w:hAnsi="Times New Roman"/>
                <w:b/>
                <w:bCs/>
                <w:color w:val="FFFFFF"/>
                <w:sz w:val="20"/>
                <w:szCs w:val="20"/>
              </w:rPr>
              <w:t xml:space="preserve">Dimension</w:t>
            </w:r>
          </w:p>
        </w:tc>
        <w:tc>
          <w:tcPr>
            <w:tcW w:type="pct" w:w="33%"/>
            <w:shd w:fill="1B3A6B" w:color="auto" w:val="clear"/>
          </w:tcPr>
          <w:p>
            <w:pPr>
              <w:jc w:val="center"/>
            </w:pPr>
            <w:r>
              <w:rPr>
                <w:rFonts w:ascii="Times New Roman" w:cs="Times New Roman" w:eastAsia="Times New Roman" w:hAnsi="Times New Roman"/>
                <w:b/>
                <w:bCs/>
                <w:color w:val="FFFFFF"/>
                <w:sz w:val="20"/>
                <w:szCs w:val="20"/>
              </w:rPr>
              <w:t xml:space="preserve">DSM-5 (APA, 2013/2022)</w:t>
            </w:r>
          </w:p>
        </w:tc>
        <w:tc>
          <w:tcPr>
            <w:tcW w:type="pct" w:w="33%"/>
            <w:shd w:fill="1B3A6B" w:color="auto" w:val="clear"/>
          </w:tcPr>
          <w:p>
            <w:pPr>
              <w:jc w:val="center"/>
            </w:pPr>
            <w:r>
              <w:rPr>
                <w:rFonts w:ascii="Times New Roman" w:cs="Times New Roman" w:eastAsia="Times New Roman" w:hAnsi="Times New Roman"/>
                <w:b/>
                <w:bCs/>
                <w:color w:val="FFFFFF"/>
                <w:sz w:val="20"/>
                <w:szCs w:val="20"/>
              </w:rPr>
              <w:t xml:space="preserve">CIM-11 (OMS, 2022)</w:t>
            </w:r>
          </w:p>
        </w:tc>
      </w:tr>
      <w:tr>
        <w:tc>
          <w:tcPr>
            <w:tcW w:type="pct" w:w="33%"/>
            <w:shd w:fill="EEF2F7" w:color="auto" w:val="clear"/>
          </w:tcPr>
          <w:p>
            <w:r>
              <w:rPr>
                <w:rFonts w:ascii="Times New Roman" w:cs="Times New Roman" w:eastAsia="Times New Roman" w:hAnsi="Times New Roman"/>
                <w:color w:val="1F2937"/>
                <w:sz w:val="20"/>
                <w:szCs w:val="20"/>
              </w:rPr>
              <w:t xml:space="preserve">Approche</w:t>
            </w:r>
          </w:p>
        </w:tc>
        <w:tc>
          <w:tcPr>
            <w:tcW w:type="pct" w:w="33%"/>
            <w:shd w:fill="EEF2F7" w:color="auto" w:val="clear"/>
          </w:tcPr>
          <w:p>
            <w:r>
              <w:rPr>
                <w:rFonts w:ascii="Times New Roman" w:cs="Times New Roman" w:eastAsia="Times New Roman" w:hAnsi="Times New Roman"/>
                <w:color w:val="1F2937"/>
                <w:sz w:val="20"/>
                <w:szCs w:val="20"/>
              </w:rPr>
              <w:t xml:space="preserve">Dimensionnelle (continuum)</w:t>
            </w:r>
          </w:p>
        </w:tc>
        <w:tc>
          <w:tcPr>
            <w:tcW w:type="pct" w:w="33%"/>
            <w:shd w:fill="EEF2F7" w:color="auto" w:val="clear"/>
          </w:tcPr>
          <w:p>
            <w:r>
              <w:rPr>
                <w:rFonts w:ascii="Times New Roman" w:cs="Times New Roman" w:eastAsia="Times New Roman" w:hAnsi="Times New Roman"/>
                <w:color w:val="1F2937"/>
                <w:sz w:val="20"/>
                <w:szCs w:val="20"/>
              </w:rPr>
              <w:t xml:space="preserve">Catégorielle (maintenue)</w:t>
            </w:r>
          </w:p>
        </w:tc>
      </w:tr>
      <w:tr>
        <w:tc>
          <w:tcPr>
            <w:tcW w:type="pct" w:w="33%"/>
          </w:tcPr>
          <w:p>
            <w:r>
              <w:rPr>
                <w:rFonts w:ascii="Times New Roman" w:cs="Times New Roman" w:eastAsia="Times New Roman" w:hAnsi="Times New Roman"/>
                <w:color w:val="1F2937"/>
                <w:sz w:val="20"/>
                <w:szCs w:val="20"/>
              </w:rPr>
              <w:t xml:space="preserve">Concept central</w:t>
            </w:r>
          </w:p>
        </w:tc>
        <w:tc>
          <w:tcPr>
            <w:tcW w:type="pct" w:w="33%"/>
          </w:tcPr>
          <w:p>
            <w:r>
              <w:rPr>
                <w:rFonts w:ascii="Times New Roman" w:cs="Times New Roman" w:eastAsia="Times New Roman" w:hAnsi="Times New Roman"/>
                <w:color w:val="1F2937"/>
                <w:sz w:val="20"/>
                <w:szCs w:val="20"/>
              </w:rPr>
              <w:t xml:space="preserve">Trouble de l'usage (unique)</w:t>
            </w:r>
          </w:p>
        </w:tc>
        <w:tc>
          <w:tcPr>
            <w:tcW w:type="pct" w:w="33%"/>
          </w:tcPr>
          <w:p>
            <w:r>
              <w:rPr>
                <w:rFonts w:ascii="Times New Roman" w:cs="Times New Roman" w:eastAsia="Times New Roman" w:hAnsi="Times New Roman"/>
                <w:color w:val="1F2937"/>
                <w:sz w:val="20"/>
                <w:szCs w:val="20"/>
              </w:rPr>
              <w:t xml:space="preserve">Usage nocif + Dépendance (deux catégories)</w:t>
            </w:r>
          </w:p>
        </w:tc>
      </w:tr>
      <w:tr>
        <w:tc>
          <w:tcPr>
            <w:tcW w:type="pct" w:w="33%"/>
            <w:shd w:fill="EEF2F7" w:color="auto" w:val="clear"/>
          </w:tcPr>
          <w:p>
            <w:r>
              <w:rPr>
                <w:rFonts w:ascii="Times New Roman" w:cs="Times New Roman" w:eastAsia="Times New Roman" w:hAnsi="Times New Roman"/>
                <w:color w:val="1F2937"/>
                <w:sz w:val="20"/>
                <w:szCs w:val="20"/>
              </w:rPr>
              <w:t xml:space="preserve">Critères</w:t>
            </w:r>
          </w:p>
        </w:tc>
        <w:tc>
          <w:tcPr>
            <w:tcW w:type="pct" w:w="33%"/>
            <w:shd w:fill="EEF2F7" w:color="auto" w:val="clear"/>
          </w:tcPr>
          <w:p>
            <w:r>
              <w:rPr>
                <w:rFonts w:ascii="Times New Roman" w:cs="Times New Roman" w:eastAsia="Times New Roman" w:hAnsi="Times New Roman"/>
                <w:color w:val="1F2937"/>
                <w:sz w:val="20"/>
                <w:szCs w:val="20"/>
              </w:rPr>
              <w:t xml:space="preserve">11 critères → 3 niveaux (léger / modéré / sévère)</w:t>
            </w:r>
          </w:p>
        </w:tc>
        <w:tc>
          <w:tcPr>
            <w:tcW w:type="pct" w:w="33%"/>
            <w:shd w:fill="EEF2F7" w:color="auto" w:val="clear"/>
          </w:tcPr>
          <w:p>
            <w:r>
              <w:rPr>
                <w:rFonts w:ascii="Times New Roman" w:cs="Times New Roman" w:eastAsia="Times New Roman" w:hAnsi="Times New Roman"/>
                <w:color w:val="1F2937"/>
                <w:sz w:val="20"/>
                <w:szCs w:val="20"/>
              </w:rPr>
              <w:t xml:space="preserve">6 critères pour dépendance ; usage à risque reconnu</w:t>
            </w:r>
          </w:p>
        </w:tc>
      </w:tr>
      <w:tr>
        <w:tc>
          <w:tcPr>
            <w:tcW w:type="pct" w:w="33%"/>
          </w:tcPr>
          <w:p>
            <w:r>
              <w:rPr>
                <w:rFonts w:ascii="Times New Roman" w:cs="Times New Roman" w:eastAsia="Times New Roman" w:hAnsi="Times New Roman"/>
                <w:color w:val="1F2937"/>
                <w:sz w:val="20"/>
                <w:szCs w:val="20"/>
              </w:rPr>
              <w:t xml:space="preserve">Addictions comportementales</w:t>
            </w:r>
          </w:p>
        </w:tc>
        <w:tc>
          <w:tcPr>
            <w:tcW w:type="pct" w:w="33%"/>
          </w:tcPr>
          <w:p>
            <w:r>
              <w:rPr>
                <w:rFonts w:ascii="Times New Roman" w:cs="Times New Roman" w:eastAsia="Times New Roman" w:hAnsi="Times New Roman"/>
                <w:color w:val="1F2937"/>
                <w:sz w:val="20"/>
                <w:szCs w:val="20"/>
              </w:rPr>
              <w:t xml:space="preserve">Jeux d'argent (officiel) ; Jeux vidéo (section III)</w:t>
            </w:r>
          </w:p>
        </w:tc>
        <w:tc>
          <w:tcPr>
            <w:tcW w:type="pct" w:w="33%"/>
          </w:tcPr>
          <w:p>
            <w:r>
              <w:rPr>
                <w:rFonts w:ascii="Times New Roman" w:cs="Times New Roman" w:eastAsia="Times New Roman" w:hAnsi="Times New Roman"/>
                <w:color w:val="1F2937"/>
                <w:sz w:val="20"/>
                <w:szCs w:val="20"/>
              </w:rPr>
              <w:t xml:space="preserve">Jeux d'argent + Jeux vidéo (officiels)</w:t>
            </w:r>
          </w:p>
        </w:tc>
      </w:tr>
      <w:tr>
        <w:tc>
          <w:tcPr>
            <w:tcW w:type="pct" w:w="33%"/>
            <w:shd w:fill="EEF2F7" w:color="auto" w:val="clear"/>
          </w:tcPr>
          <w:p>
            <w:r>
              <w:rPr>
                <w:rFonts w:ascii="Times New Roman" w:cs="Times New Roman" w:eastAsia="Times New Roman" w:hAnsi="Times New Roman"/>
                <w:color w:val="1F2937"/>
                <w:sz w:val="20"/>
                <w:szCs w:val="20"/>
              </w:rPr>
              <w:t xml:space="preserve">Tolérance / Sevrage</w:t>
            </w:r>
          </w:p>
        </w:tc>
        <w:tc>
          <w:tcPr>
            <w:tcW w:type="pct" w:w="33%"/>
            <w:shd w:fill="EEF2F7" w:color="auto" w:val="clear"/>
          </w:tcPr>
          <w:p>
            <w:r>
              <w:rPr>
                <w:rFonts w:ascii="Times New Roman" w:cs="Times New Roman" w:eastAsia="Times New Roman" w:hAnsi="Times New Roman"/>
                <w:color w:val="1F2937"/>
                <w:sz w:val="20"/>
                <w:szCs w:val="20"/>
              </w:rPr>
              <w:t xml:space="preserve">Critères 10 et 11 sur 11</w:t>
            </w:r>
          </w:p>
        </w:tc>
        <w:tc>
          <w:tcPr>
            <w:tcW w:type="pct" w:w="33%"/>
            <w:shd w:fill="EEF2F7" w:color="auto" w:val="clear"/>
          </w:tcPr>
          <w:p>
            <w:r>
              <w:rPr>
                <w:rFonts w:ascii="Times New Roman" w:cs="Times New Roman" w:eastAsia="Times New Roman" w:hAnsi="Times New Roman"/>
                <w:color w:val="1F2937"/>
                <w:sz w:val="20"/>
                <w:szCs w:val="20"/>
              </w:rPr>
              <w:t xml:space="preserve">Inclus dans critères de dépendance</w:t>
            </w:r>
          </w:p>
        </w:tc>
      </w:tr>
    </w:tbl>
    <w:p>
      <w:r>
        <w:t xml:space="preserve"/>
      </w:r>
    </w:p>
    <w:p>
      <w:pPr>
        <w:pStyle w:val="Heading3"/>
        <w:spacing w:after="80" w:before="200"/>
      </w:pPr>
      <w:r>
        <w:rPr>
          <w:rFonts w:ascii="Times New Roman" w:cs="Times New Roman" w:eastAsia="Times New Roman" w:hAnsi="Times New Roman"/>
          <w:b/>
          <w:bCs/>
          <w:color w:val="1F2937"/>
          <w:sz w:val="26"/>
          <w:szCs w:val="26"/>
        </w:rPr>
        <w:t xml:space="preserve">4. Mécanismes neurobiologiques : le circuit de la récompense</w:t>
      </w:r>
    </w:p>
    <w:p>
      <w:pPr>
        <w:spacing w:after="60" w:before="60"/>
      </w:pPr>
      <w:r>
        <w:rPr>
          <w:rFonts w:ascii="Times New Roman" w:cs="Times New Roman" w:eastAsia="Times New Roman" w:hAnsi="Times New Roman"/>
          <w:b w:val="false"/>
          <w:bCs w:val="false"/>
          <w:i w:val="false"/>
          <w:iCs w:val="false"/>
          <w:color w:val="1F2937"/>
          <w:sz w:val="22"/>
          <w:szCs w:val="22"/>
        </w:rPr>
        <w:t xml:space="preserve">Les addictions — avec ou sans substance — partagent une base neurobiologique commune, largement documentée dans la littérature :</w:t>
      </w:r>
    </w:p>
    <w:p>
      <w:r>
        <w:t xml:space="preserve"/>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Le système dopaminergique mésolimbique (voie dopaminergique de la récompense) joue un rôle central. La consommation d'une substance psychoactive provoque une libération de dopamine dans le noyau accumbens, générant un sentiment de plaisir intense (« renforcement positif »).</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Avec la répétition, des phénomènes de tolérance (diminution de la réponse) et de sensibilisation (hypersensibilité au craving) s'installent.</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Le sevrage active des circuits de stress (amygdale, CRF) et génère des états dysphoriques qui entretiennent la consommation par « renforcement négatif » (consommer pour échapper à la souffrance du manque).</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Des remaniements du cortex préfrontal réduisent les capacités de contrôle inhibiteur et de prise de décision à long terme.</w:t>
      </w:r>
    </w:p>
    <w:p>
      <w:r>
        <w:t xml:space="preserve"/>
      </w:r>
    </w:p>
    <w:p>
      <w:pPr>
        <w:shd w:fill="F3F4F6" w:color="auto" w:val="clear"/>
        <w:spacing w:after="100" w:before="100"/>
        <w:ind w:left="431" w:right="431"/>
      </w:pPr>
      <w:r>
        <w:rPr>
          <w:rFonts w:ascii="Times New Roman" w:cs="Times New Roman" w:eastAsia="Times New Roman" w:hAnsi="Times New Roman"/>
          <w:color w:val="1F2937"/>
          <w:sz w:val="22"/>
          <w:szCs w:val="22"/>
        </w:rPr>
        <w:t xml:space="preserve">Ces mécanismes sont communs aux addictions comportementales (jeux d'argent, jeux vidéo) et aux addictions avec substance : le même circuit est sollicité, c'est pourquoi la CIM-11 et le DSM-5 reconnaissent désormais officiellement certaines addictions sans substance.</w:t>
      </w:r>
    </w:p>
    <w:p>
      <w:r>
        <w:t xml:space="preserve"/>
      </w:r>
    </w:p>
    <w:p>
      <w:pPr>
        <w:pStyle w:val="Heading3"/>
        <w:spacing w:after="80" w:before="200"/>
      </w:pPr>
      <w:r>
        <w:rPr>
          <w:rFonts w:ascii="Times New Roman" w:cs="Times New Roman" w:eastAsia="Times New Roman" w:hAnsi="Times New Roman"/>
          <w:b/>
          <w:bCs/>
          <w:color w:val="1F2937"/>
          <w:sz w:val="26"/>
          <w:szCs w:val="26"/>
        </w:rPr>
        <w:t xml:space="preserve">5. Substances et addictions comportementales</w:t>
      </w:r>
    </w:p>
    <w:p>
      <w:pPr>
        <w:spacing w:after="60" w:before="60"/>
      </w:pPr>
      <w:r>
        <w:rPr>
          <w:rFonts w:ascii="Times New Roman" w:cs="Times New Roman" w:eastAsia="Times New Roman" w:hAnsi="Times New Roman"/>
          <w:b w:val="false"/>
          <w:bCs w:val="false"/>
          <w:i w:val="false"/>
          <w:iCs w:val="false"/>
          <w:color w:val="1F2937"/>
          <w:sz w:val="22"/>
          <w:szCs w:val="22"/>
        </w:rPr>
        <w:t xml:space="preserve">Les substances psychoactives couvertes par les classifications comprennent : alcool, tabac, cannabis, opioïdes, stimulants (cocaïne, amphétamines), hallucinogènes, benzodiazépines et hypnotiques, inhalants, phencyclidine et autres substances.</w:t>
      </w:r>
    </w:p>
    <w:p>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Addictions comportementales reconnues officiellement :</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Jeux d'argent et de hasard (DSM-5 et CIM-11 — section officielle)</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Trouble du jeu vidéo / jeux en ligne (CIM-11 — section officielle ; DSM-5 section III, conditions nécessitant plus de recherches)</w:t>
      </w:r>
    </w:p>
    <w:p>
      <w:pPr>
        <w:spacing w:after="60" w:before="60"/>
      </w:pPr>
      <w:r>
        <w:rPr>
          <w:rFonts w:ascii="Times New Roman" w:cs="Times New Roman" w:eastAsia="Times New Roman" w:hAnsi="Times New Roman"/>
          <w:b w:val="false"/>
          <w:bCs w:val="false"/>
          <w:i w:val="false"/>
          <w:iCs w:val="false"/>
          <w:color w:val="1F2937"/>
          <w:sz w:val="22"/>
          <w:szCs w:val="22"/>
        </w:rPr>
        <w:t xml:space="preserve">Addictions comportementales en débat clinique (non officialisées) : achats compulsifs, utilisation problématique des réseaux sociaux, hypersexualité, exercice compulsif. Ces comportements partagent les mêmes mécanismes neurobiologiques mais ne remplissent pas encore les critères de validation nécessaires à une inclusion officielle.</w:t>
      </w:r>
    </w:p>
    <w:p>
      <w:pPr>
        <w:pBdr>
          <w:bottom w:val="single" w:color="EEF2F7" w:sz="4"/>
        </w:pBdr>
        <w:spacing w:after="120" w:before="120"/>
      </w:pPr>
      <w:r>
        <w:t xml:space="preserve"/>
      </w:r>
    </w:p>
    <w:p>
      <w:pPr>
        <w:pStyle w:val="Heading2"/>
        <w:spacing w:after="120" w:before="280"/>
      </w:pPr>
      <w:r>
        <w:rPr>
          <w:rFonts w:ascii="Times New Roman" w:cs="Times New Roman" w:eastAsia="Times New Roman" w:hAnsi="Times New Roman"/>
          <w:b/>
          <w:bCs/>
          <w:color w:val="1B3A6B"/>
          <w:sz w:val="30"/>
          <w:szCs w:val="30"/>
        </w:rPr>
        <w:t xml:space="preserve">🛠️ Pratique (80 %)</w:t>
      </w:r>
    </w:p>
    <w:p>
      <w:pPr>
        <w:pStyle w:val="Heading3"/>
        <w:spacing w:after="80" w:before="200"/>
      </w:pPr>
      <w:r>
        <w:rPr>
          <w:rFonts w:ascii="Times New Roman" w:cs="Times New Roman" w:eastAsia="Times New Roman" w:hAnsi="Times New Roman"/>
          <w:b/>
          <w:bCs/>
          <w:color w:val="1F2937"/>
          <w:sz w:val="26"/>
          <w:szCs w:val="26"/>
        </w:rPr>
        <w:t xml:space="preserve">Exercice 1 — Repérage des critères DSM-5 dans une vignette clinique</w:t>
      </w:r>
    </w:p>
    <w:p>
      <w:pPr>
        <w:spacing w:after="60" w:before="60"/>
      </w:pPr>
      <w:r>
        <w:rPr>
          <w:rFonts w:ascii="Times New Roman" w:cs="Times New Roman" w:eastAsia="Times New Roman" w:hAnsi="Times New Roman"/>
          <w:b w:val="false"/>
          <w:bCs w:val="false"/>
          <w:i w:val="false"/>
          <w:iCs w:val="false"/>
          <w:color w:val="1F2937"/>
          <w:sz w:val="22"/>
          <w:szCs w:val="22"/>
        </w:rPr>
        <w:t xml:space="preserve">Lis la vignette suivante, puis réponds aux questions.</w:t>
      </w:r>
    </w:p>
    <w:p>
      <w:r>
        <w:t xml:space="preserve"/>
      </w:r>
    </w:p>
    <w:p>
      <w:pPr>
        <w:shd w:fill="F3F4F6" w:color="auto" w:val="clear"/>
        <w:spacing w:after="100" w:before="100"/>
        <w:ind w:left="431" w:right="431"/>
      </w:pPr>
      <w:r>
        <w:rPr>
          <w:rFonts w:ascii="Times New Roman" w:cs="Times New Roman" w:eastAsia="Times New Roman" w:hAnsi="Times New Roman"/>
          <w:color w:val="1F2937"/>
          <w:sz w:val="22"/>
          <w:szCs w:val="22"/>
        </w:rPr>
        <w:t xml:space="preserve">Vignette — Karim, 34 ans
Karim est accompagné dans un foyer de vie depuis 3 ans. Il bénéficie d'un travail en ESAT à mi-temps. Ces derniers mois, l'équipe a noté qu'il sent de plus en plus souvent l'alcool le matin. Karim explique qu'il « boit un peu pour se calmer » depuis que son frère a été hospitalisé. Il a manqué plusieurs journées d'ESAT sans prévenir. Lors des sorties collectives, il cherche systématiquement à partir seul pour « boire un verre ». Il s'énerve quand on lui parle de sa consommation et dit qu'il « peut arrêter quand il veut ». Le médecin généraliste a signalé une augmentation des transaminases. Karim continue à consommer malgré ce résultat et les conseils médicaux.</w:t>
      </w:r>
    </w:p>
    <w:p>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Questions :</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1a. Identifie les critères DSM-5 présents dans la vignette. Indique le numéro du critère, son groupe et la phrase de la vignette qui le décrit.</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1b. Quelle est la sévérité du trouble selon le DSM-5 ?</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1c. Quels signes t'ont alerté en premier ? Pour quelle raison ?</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1d. La phrase « il peut arrêter quand il veut » est-elle cliniquement significative ? Pourquoi ?</w:t>
      </w:r>
    </w:p>
    <w:p>
      <w:r>
        <w:t xml:space="preserve"/>
      </w:r>
    </w:p>
    <w:p>
      <w:pPr>
        <w:spacing w:after="60" w:before="60"/>
      </w:pPr>
      <w:r>
        <w:rPr>
          <w:rFonts w:ascii="Times New Roman" w:cs="Times New Roman" w:eastAsia="Times New Roman" w:hAnsi="Times New Roman"/>
          <w:b/>
          <w:bCs/>
          <w:i w:val="false"/>
          <w:iCs w:val="false"/>
          <w:color w:val="1F2937"/>
          <w:sz w:val="22"/>
          <w:szCs w:val="22"/>
        </w:rPr>
        <w:t xml:space="preserve">Corrigé proposé :</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Critère 4 (craving) : « boire un peu pour se calmer » — compulsion, usage pour gérer l'état émotionnel.</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Critère 5 (manquements obligations) : absences répétées à l'ESAT sans prévenir.</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Critère 6 (problèmes interpersonnels) : réaction défensive et conflictuelle quand l'entourage aborde la consommation.</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Critère 7 (abandon d'activités) : sortir seul lors des sorties collectives pour consommer, au détriment de la participation groupale.</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Critère 9 (poursuite malgré dommages) : continuation malgré résultat biologique anormal et avis médical.</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Sévérité : 5 critères identifiés → trouble modéré (4-5 critères). Un examen clinique approfondi pourrait révéler d'autres critères (tolérance, sevrage).</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La phrase « je peux arrêter quand je veux » est une banalisation fréquente qui peut masquer une perte de contrôle réelle (critère 2 : désir ou efforts infructueux de réduire). Elle ne suffit pas à invalider le diagnostic mais appelle une exploration approfondie.</w:t>
      </w:r>
    </w:p>
    <w:p>
      <w:pPr>
        <w:shd w:fill="F3F4F6" w:color="auto" w:val="clear"/>
        <w:spacing w:after="100" w:before="100"/>
        <w:ind w:left="431" w:right="431"/>
      </w:pPr>
      <w:r>
        <w:rPr>
          <w:rFonts w:ascii="Times New Roman" w:cs="Times New Roman" w:eastAsia="Times New Roman" w:hAnsi="Times New Roman"/>
          <w:color w:val="1F2937"/>
          <w:sz w:val="22"/>
          <w:szCs w:val="22"/>
        </w:rPr>
        <w:t xml:space="preserve">⚠️ Rappel déontologique : ce repérage est une aide à l'observation et à l'orientation. Seul un médecin ou un psychologue clinicien peut poser un diagnostic.</w:t>
      </w:r>
    </w:p>
    <w:p>
      <w:r>
        <w:t xml:space="preserve"/>
      </w:r>
    </w:p>
    <w:p>
      <w:pPr>
        <w:pStyle w:val="Heading3"/>
        <w:spacing w:after="80" w:before="200"/>
      </w:pPr>
      <w:r>
        <w:rPr>
          <w:rFonts w:ascii="Times New Roman" w:cs="Times New Roman" w:eastAsia="Times New Roman" w:hAnsi="Times New Roman"/>
          <w:b/>
          <w:bCs/>
          <w:color w:val="1F2937"/>
          <w:sz w:val="26"/>
          <w:szCs w:val="26"/>
        </w:rPr>
        <w:t xml:space="preserve">Exercice 2 — Compréhension active : DSM-5 vs CIM-11</w:t>
      </w:r>
    </w:p>
    <w:p>
      <w:pPr>
        <w:spacing w:after="60" w:before="60"/>
      </w:pPr>
      <w:r>
        <w:rPr>
          <w:rFonts w:ascii="Times New Roman" w:cs="Times New Roman" w:eastAsia="Times New Roman" w:hAnsi="Times New Roman"/>
          <w:b w:val="false"/>
          <w:bCs w:val="false"/>
          <w:i w:val="false"/>
          <w:iCs w:val="false"/>
          <w:color w:val="1F2937"/>
          <w:sz w:val="22"/>
          <w:szCs w:val="22"/>
        </w:rPr>
        <w:t xml:space="preserve">Questions de compréhension à formuler par écrit (sans regarder le tableau de la partie théorie) :</w:t>
      </w:r>
    </w:p>
    <w:p>
      <w:r>
        <w:t xml:space="preserve"/>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2a. Quelle est la principale différence d'approche entre le DSM-5 (dimensionnel) et la CIM-11 (catégoriel) dans le diagnostic des troubles liés à l'usage de substances ?</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2b. Dans la CIM-11, qu'est-ce qui distingue l'« usage nocif » de la « dépendance » ?</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2c. Pourquoi le DSM-IV distinguait-il « abus » et « dépendance » alors que le DSM-5 les fusionne ?</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2d. Un patient reçoit un traitement à la morphine depuis 6 mois pour une douleur chronique. Il présente des critères 10 (tolérance) et 11 (sevrage). A-t-il un trouble de l'usage selon le DSM-5 ?</w:t>
      </w:r>
    </w:p>
    <w:p>
      <w:r>
        <w:t xml:space="preserve"/>
      </w:r>
    </w:p>
    <w:p>
      <w:pPr>
        <w:spacing w:after="60" w:before="60"/>
      </w:pPr>
      <w:r>
        <w:rPr>
          <w:rFonts w:ascii="Times New Roman" w:cs="Times New Roman" w:eastAsia="Times New Roman" w:hAnsi="Times New Roman"/>
          <w:b/>
          <w:bCs/>
          <w:i w:val="false"/>
          <w:iCs w:val="false"/>
          <w:color w:val="1F2937"/>
          <w:sz w:val="22"/>
          <w:szCs w:val="22"/>
        </w:rPr>
        <w:t xml:space="preserve">Corrigé proposé :</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2a. Le DSM-5 conçoit le trouble comme un continuum (de léger à sévère) mesurable par des critères additifs. La CIM-11 maintient des catégories distinctes (usage nocif / dépendance), avec des critères seuils pour chaque catégorie.</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2b. L'usage nocif (CIM-11) désigne des conséquences négatives sur la santé ou le fonctionnement social sans syndrome de dépendance constitué. La dépendance requiert ≥ 3 critères sur 6, incluant notamment la compulsion, le sevrage et la perte de contrôle.</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2c. Les études longitudinales ont montré que l'abus et la dépendance formaient un continuum plutôt que deux entités distinctes : beaucoup de patients répondant aux critères d'abus évoluaient vers la dépendance. La fusion en « trouble de l'usage » reflète cette réalité clinique et évite une dichotomie artificielle.</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2d. Non. Le DSM-5 précise explicitement que la tolérance et le sevrage dans le cadre d'un usage médical approprié ne constituent pas des critères diagnostiques du trouble de l'usage. Le diagnostic nécessite d'autres critères témoignant d'une perte de contrôle ou de conséquences néfastes malgré la connaissance des dommages.</w:t>
      </w:r>
    </w:p>
    <w:p>
      <w:r>
        <w:t xml:space="preserve"/>
      </w:r>
    </w:p>
    <w:p>
      <w:pPr>
        <w:pStyle w:val="Heading3"/>
        <w:spacing w:after="80" w:before="200"/>
      </w:pPr>
      <w:r>
        <w:rPr>
          <w:rFonts w:ascii="Times New Roman" w:cs="Times New Roman" w:eastAsia="Times New Roman" w:hAnsi="Times New Roman"/>
          <w:b/>
          <w:bCs/>
          <w:color w:val="1F2937"/>
          <w:sz w:val="26"/>
          <w:szCs w:val="26"/>
        </w:rPr>
        <w:t xml:space="preserve">Exercice 3 — Repérer une addiction comportementale</w:t>
      </w:r>
    </w:p>
    <w:p>
      <w:pPr>
        <w:spacing w:after="60" w:before="60"/>
      </w:pPr>
      <w:r>
        <w:rPr>
          <w:rFonts w:ascii="Times New Roman" w:cs="Times New Roman" w:eastAsia="Times New Roman" w:hAnsi="Times New Roman"/>
          <w:b w:val="false"/>
          <w:bCs w:val="false"/>
          <w:i w:val="false"/>
          <w:iCs w:val="false"/>
          <w:color w:val="1F2937"/>
          <w:sz w:val="22"/>
          <w:szCs w:val="22"/>
        </w:rPr>
        <w:t xml:space="preserve">Lis cette situation et réponds aux questions.</w:t>
      </w:r>
    </w:p>
    <w:p>
      <w:r>
        <w:t xml:space="preserve"/>
      </w:r>
    </w:p>
    <w:p>
      <w:pPr>
        <w:shd w:fill="F3F4F6" w:color="auto" w:val="clear"/>
        <w:spacing w:after="100" w:before="100"/>
        <w:ind w:left="431" w:right="431"/>
      </w:pPr>
      <w:r>
        <w:rPr>
          <w:rFonts w:ascii="Times New Roman" w:cs="Times New Roman" w:eastAsia="Times New Roman" w:hAnsi="Times New Roman"/>
          <w:color w:val="1F2937"/>
          <w:sz w:val="22"/>
          <w:szCs w:val="22"/>
        </w:rPr>
        <w:t xml:space="preserve">Situation — Sonia, 28 ans
Sonia vit en appartement avec suivi SAVS. Elle est très investie dans les jeux vidéo en ligne. Elle y consacre chaque soir plusieurs heures, parfois toute la nuit. Elle annule régulièrement ses rendez-vous avec l'éducatrice « parce qu'elle est en pleine partie ». Elle dit ressentir une forte irritabilité quand elle ne peut pas jouer (coupure internet, panne). Elle a essayé plusieurs fois de limiter son temps de jeu, sans succès. Ses repas sont de plus en plus irréguliers. Ses voisins se plaignent du bruit la nuit.</w:t>
      </w:r>
    </w:p>
    <w:p>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Questions :</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3a. Quels éléments de la situation correspondent à des critères diagnostiques d'un trouble addictif comportemental ?</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3b. Quelle classification reconnaît officiellement le trouble du jeu vidéo ?</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3c. Quels mécanismes neurobiologiques peuvent expliquer l'irritabilité ressentie lors d'une interruption forcée ?</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3d. Quelle posture professionnelle adopter dans cet accompagnement ?</w:t>
      </w:r>
    </w:p>
    <w:p>
      <w:r>
        <w:t xml:space="preserve"/>
      </w:r>
    </w:p>
    <w:p>
      <w:pPr>
        <w:spacing w:after="60" w:before="60"/>
      </w:pPr>
      <w:r>
        <w:rPr>
          <w:rFonts w:ascii="Times New Roman" w:cs="Times New Roman" w:eastAsia="Times New Roman" w:hAnsi="Times New Roman"/>
          <w:b/>
          <w:bCs/>
          <w:i w:val="false"/>
          <w:iCs w:val="false"/>
          <w:color w:val="1F2937"/>
          <w:sz w:val="22"/>
          <w:szCs w:val="22"/>
        </w:rPr>
        <w:t xml:space="preserve">Corrigé proposé :</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3a. Perte de contrôle (essais infructueux de limitation), priorité donnée au jeu au détriment d'obligations (rendez-vous SAVS), sevrage comportemental (irritabilité lors des interruptions), perturbation du fonctionnement quotidien (repas irréguliers, plaintes des voisins).</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3b. Le trouble du jeu vidéo (Gaming Disorder) est officiellement reconnu dans la CIM-11 sous la catégorie « Troubles dus à des comportements addictifs ». Il figure également en section III (conditions nécessitant plus de recherches) dans le DSM-5.</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3c. L'interruption forcée suspend brutalement la stimulation dopaminergique associée au jeu. La chute de dopamine, combinée à l'activation des circuits du stress (amygdale, système CRF), génère un état dysphorique — l'irritabilité est l'expression comportementale de ce sevrage fonctionnel.</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3d. Posture non stigmatisante et centrée sur la personne : reconnaître la souffrance sans étiqueter, explorer avec Sonia ce que le jeu lui apporte (appartenance, compétence, échappatoire), travailler sur les alternatives et, si le trouble est constitué, orienter vers une équipe soignante spécialisée (addictologie, psychiatrie).</w:t>
      </w:r>
    </w:p>
    <w:p>
      <w:pPr>
        <w:pBdr>
          <w:bottom w:val="single" w:color="EEF2F7" w:sz="4"/>
        </w:pBdr>
        <w:spacing w:after="120" w:before="120"/>
      </w:pPr>
      <w:r>
        <w:t xml:space="preserve"/>
      </w:r>
    </w:p>
    <w:p>
      <w:pPr>
        <w:pStyle w:val="Heading2"/>
        <w:spacing w:after="120" w:before="280"/>
      </w:pPr>
      <w:r>
        <w:rPr>
          <w:rFonts w:ascii="Times New Roman" w:cs="Times New Roman" w:eastAsia="Times New Roman" w:hAnsi="Times New Roman"/>
          <w:b/>
          <w:bCs/>
          <w:color w:val="1B3A6B"/>
          <w:sz w:val="30"/>
          <w:szCs w:val="30"/>
        </w:rPr>
        <w:t xml:space="preserve">🎯 Challenge — Étude de cas complexe</w:t>
      </w:r>
    </w:p>
    <w:p>
      <w:pPr>
        <w:shd w:fill="F3F4F6" w:color="auto" w:val="clear"/>
        <w:spacing w:after="100" w:before="100"/>
        <w:ind w:left="431" w:right="431"/>
      </w:pPr>
      <w:r>
        <w:rPr>
          <w:rFonts w:ascii="Times New Roman" w:cs="Times New Roman" w:eastAsia="Times New Roman" w:hAnsi="Times New Roman"/>
          <w:color w:val="1F2937"/>
          <w:sz w:val="22"/>
          <w:szCs w:val="22"/>
        </w:rPr>
        <w:t xml:space="preserve">Situation — Mehdi, 42 ans, double diagnostic
Mehdi est accueilli en FAM depuis 5 ans pour une déficience intellectuelle légère. Il présente depuis 18 mois un usage régulier de cannabis. L'équipe observe : retrait progressif des activités collectives, augmentation des crises d'angoisse, propos décousus lors des entretiens, absence d'hygiène certains jours. Mehdi consomme en cachette, minimise sa consommation quand on l'aborde. Un bilan psychiatrique récent mentionne « des éléments évocateurs d'un trouble psychotique à préciser ».</w:t>
      </w:r>
    </w:p>
    <w:p>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Questions :</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A. Quels critères DSM-5 du trouble de l'usage du cannabis identifies-tu ?</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B. La comorbidité déficience intellectuelle + usage de cannabis + signes psychotiques constitue ce qu'on appelle un « double diagnostic ». Quelles complexités cliniques cela génère-t-il pour le diagnostic différentiel ?</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C. Comment distinguer : (1) une schizophrénie débutante, (2) une psychose cannabique, (3) une exacerbation de symptômes liés à la DI, (4) un trouble de l'adaptation ?</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D. Quelle est la responsabilité de l'équipe éducative dans ce contexte ? Que peut-elle observer et documenter ? À qui orienter ?</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E. Le cannabis est parfois présenté par les personnes accompagnées comme un « médicament contre l'angoisse ». Quelle réponse professionnelle et éthique apporter à cet argument ?</w:t>
      </w:r>
    </w:p>
    <w:p>
      <w:r>
        <w:t xml:space="preserve"/>
      </w:r>
    </w:p>
    <w:p>
      <w:pPr>
        <w:spacing w:after="60" w:before="60"/>
      </w:pPr>
      <w:r>
        <w:rPr>
          <w:rFonts w:ascii="Times New Roman" w:cs="Times New Roman" w:eastAsia="Times New Roman" w:hAnsi="Times New Roman"/>
          <w:b/>
          <w:bCs/>
          <w:i w:val="false"/>
          <w:iCs w:val="false"/>
          <w:color w:val="1F2937"/>
          <w:sz w:val="22"/>
          <w:szCs w:val="22"/>
        </w:rPr>
        <w:t xml:space="preserve">Éléments de corrigé :</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A. Critère 4 (craving probable), critère 7 (retrait des activités collectives), critère 8 ou 9 (consommation malgré des signes psychiques inquiétants), critère 3 (temps consacré à se procurer et consommer), usage caché (critère 2 possible).</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B. Complexités : la DI peut masquer ou amplifier les symptômes psychotiques ; le cannabis peut déclencher ou aggraver une psychose chez les personnes génétiquement vulnérables ; la consommation peut être une tentative d'automédication d'une symptomatologie préexistante ; les outils diagnostiques standardisés sont moins validés pour les personnes avec DI.</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C. Le diagnostic différentiel est l'affaire du psychiatre. Les éléments orientatifs : la psychose cannabique est souvent transitoire et régresse à l'arrêt de la consommation (délai 4-6 semaines). Une schizophrénie débutante s'installe progressivement, indépendamment de la consommation. La DI ne génère pas de dissociation ni de délire structuré. Un trouble de l'adaptation se réfère à un événement de vie identifiable.</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D. L'équipe éducative peut et doit : observer et documenter les changements comportementaux (cahier de liaison, DUI), ne pas diagnostiquer, alerter le médecin coordinateur et le psychiatre référent, maintenir le lien et l'alliance thérapeutique avec Mehdi, protéger les autres résidents si nécessaire, éviter la confrontation directe sur la consommation sans appui pluridisciplinaire.</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E. L'argument « ça me calme » mérite d'être entendu sérieusement : il révèle une souffrance réelle et un besoin de régulation émotionnelle. La réponse professionnelle n'est pas morale mais clinique : le cannabis peut soulager à court terme l'anxiété tout en aggravant la symptomatologie à moyen terme chez les personnes vulnérables (risque psychotique). L'enjeu est de co-construire des alternatives de régulation émotionnelle et d'orienter vers un soin adapté.</w:t>
      </w:r>
    </w:p>
    <w:p>
      <w:pPr>
        <w:pBdr>
          <w:bottom w:val="single" w:color="EEF2F7" w:sz="4"/>
        </w:pBdr>
        <w:spacing w:after="120" w:before="120"/>
      </w:pPr>
      <w:r>
        <w:t xml:space="preserve"/>
      </w:r>
    </w:p>
    <w:p>
      <w:pPr>
        <w:pStyle w:val="Heading2"/>
        <w:spacing w:after="120" w:before="280"/>
      </w:pPr>
      <w:r>
        <w:rPr>
          <w:rFonts w:ascii="Times New Roman" w:cs="Times New Roman" w:eastAsia="Times New Roman" w:hAnsi="Times New Roman"/>
          <w:b/>
          <w:bCs/>
          <w:color w:val="1B3A6B"/>
          <w:sz w:val="30"/>
          <w:szCs w:val="30"/>
        </w:rPr>
        <w:t xml:space="preserve">🌉 Pont professionnel</w:t>
      </w:r>
    </w:p>
    <w:p>
      <w:pPr>
        <w:spacing w:after="60" w:before="60"/>
      </w:pPr>
      <w:r>
        <w:rPr>
          <w:rFonts w:ascii="Times New Roman" w:cs="Times New Roman" w:eastAsia="Times New Roman" w:hAnsi="Times New Roman"/>
          <w:b w:val="false"/>
          <w:bCs w:val="false"/>
          <w:i w:val="false"/>
          <w:iCs w:val="false"/>
          <w:color w:val="1F2937"/>
          <w:sz w:val="22"/>
          <w:szCs w:val="22"/>
        </w:rPr>
        <w:t xml:space="preserve">Les troubles addictifs constituent une comorbidité fréquente chez les personnes adultes en situation de handicap mental et psychique accompagnées en ESSMS. Quelques repères pour un chef de service :</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Observation et documentation : former les équipes à observer et consigner les signes comportementaux (sans interprétation diagnostique) dans le DUI pour faciliter le travail pluridisciplinaire.</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Protocole d'orientation : disposer d'une filière identifiée (médecin coordinateur → psychiatre → équipe addictologie de secteur), éviter les réponses isolées de l'éducateur.</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Posture institutionnelle : distinguer la règle de vie collective (consommation dans l'établissement) de la réponse clinique à la souffrance — les deux ne s'opposent pas mais ne relèvent pas du même registre.</w:t>
      </w:r>
    </w:p>
    <w:p>
      <w:pPr>
        <w:pStyle w:val="ListParagraph"/>
        <w:numPr>
          <w:ilvl w:val="0"/>
          <w:numId w:val="1"/>
        </w:numPr>
        <w:spacing w:after="40" w:before="40"/>
        <w:ind w:left="576" w:hanging="288"/>
      </w:pPr>
      <w:r>
        <w:rPr>
          <w:rFonts w:ascii="Times New Roman" w:cs="Times New Roman" w:eastAsia="Times New Roman" w:hAnsi="Times New Roman"/>
          <w:b w:val="false"/>
          <w:bCs w:val="false"/>
          <w:i w:val="false"/>
          <w:iCs w:val="false"/>
          <w:color w:val="1F2937"/>
          <w:sz w:val="22"/>
          <w:szCs w:val="22"/>
        </w:rPr>
        <w:t xml:space="preserve">Projet personnalisé : intégrer les problématiques addictives dans le PP en lien avec les soins, sans en faire un prérequis à l'accompagnement.</w:t>
      </w:r>
    </w:p>
    <w:p>
      <w:pPr>
        <w:pBdr>
          <w:bottom w:val="single" w:color="EEF2F7" w:sz="4"/>
        </w:pBdr>
        <w:spacing w:after="120" w:before="120"/>
      </w:pPr>
      <w:r>
        <w:t xml:space="preserve"/>
      </w:r>
    </w:p>
    <w:p>
      <w:pPr>
        <w:pStyle w:val="Heading2"/>
        <w:spacing w:after="120" w:before="280"/>
      </w:pPr>
      <w:r>
        <w:rPr>
          <w:rFonts w:ascii="Times New Roman" w:cs="Times New Roman" w:eastAsia="Times New Roman" w:hAnsi="Times New Roman"/>
          <w:b/>
          <w:bCs/>
          <w:color w:val="1B3A6B"/>
          <w:sz w:val="30"/>
          <w:szCs w:val="30"/>
        </w:rPr>
        <w:t xml:space="preserve">📚 Ressources pour approfondir</w:t>
      </w:r>
    </w:p>
    <w:p>
      <w:pPr>
        <w:spacing w:after="60" w:before="60"/>
      </w:pPr>
      <w:r>
        <w:rPr>
          <w:rFonts w:ascii="Times New Roman" w:cs="Times New Roman" w:eastAsia="Times New Roman" w:hAnsi="Times New Roman"/>
          <w:b w:val="false"/>
          <w:bCs w:val="false"/>
          <w:i w:val="false"/>
          <w:iCs w:val="false"/>
          <w:color w:val="1F2937"/>
          <w:sz w:val="22"/>
          <w:szCs w:val="22"/>
        </w:rPr>
        <w:t xml:space="preserve">Toutes les URLs ci-dessous ont été vérifiées et retournaient un code 200 au moment de la rédaction de cette leçon (17 août 2026).</w:t>
      </w:r>
    </w:p>
    <w:p>
      <w:r>
        <w:t xml:space="preserve"/>
      </w:r>
    </w:p>
    <w:p>
      <w:pPr>
        <w:spacing w:after="40" w:before="40"/>
      </w:pPr>
      <w:r>
        <w:rPr>
          <w:rFonts w:ascii="Times New Roman" w:cs="Times New Roman" w:eastAsia="Times New Roman" w:hAnsi="Times New Roman"/>
          <w:color w:val="1F2937"/>
          <w:sz w:val="22"/>
          <w:szCs w:val="22"/>
        </w:rPr>
        <w:t xml:space="preserve">→ </w:t>
      </w:r>
      <w:hyperlink w:history="1" r:id="rId5_-mjy7eh0ja5uxzugj1q">
        <w:r>
          <w:rPr>
            <w:rFonts w:ascii="Times New Roman" w:cs="Times New Roman" w:eastAsia="Times New Roman" w:hAnsi="Times New Roman"/>
            <w:color w:val="1155CC"/>
            <w:sz w:val="22"/>
            <w:szCs w:val="22"/>
            <w:u w:val="single" w:color="1155CC"/>
          </w:rPr>
          <w:t xml:space="preserve">OFDT — Trouble de l'usage : définition et critères DSM-5</w:t>
        </w:r>
      </w:hyperlink>
    </w:p>
    <w:p>
      <w:pPr>
        <w:spacing w:after="40" w:before="40"/>
      </w:pPr>
      <w:r>
        <w:rPr>
          <w:rFonts w:ascii="Times New Roman" w:cs="Times New Roman" w:eastAsia="Times New Roman" w:hAnsi="Times New Roman"/>
          <w:color w:val="1F2937"/>
          <w:sz w:val="22"/>
          <w:szCs w:val="22"/>
        </w:rPr>
        <w:t xml:space="preserve">→ </w:t>
      </w:r>
      <w:hyperlink w:history="1" r:id="rIdzdmhkcgvxsrtdgsybzazo">
        <w:r>
          <w:rPr>
            <w:rFonts w:ascii="Times New Roman" w:cs="Times New Roman" w:eastAsia="Times New Roman" w:hAnsi="Times New Roman"/>
            <w:color w:val="1155CC"/>
            <w:sz w:val="22"/>
            <w:szCs w:val="22"/>
            <w:u w:val="single" w:color="1155CC"/>
          </w:rPr>
          <w:t xml:space="preserve">Addict Aide — Évolutions diagnostiques CIM-11 (B. Rolland)</w:t>
        </w:r>
      </w:hyperlink>
    </w:p>
    <w:p>
      <w:pPr>
        <w:spacing w:after="40" w:before="40"/>
      </w:pPr>
      <w:r>
        <w:rPr>
          <w:rFonts w:ascii="Times New Roman" w:cs="Times New Roman" w:eastAsia="Times New Roman" w:hAnsi="Times New Roman"/>
          <w:color w:val="1F2937"/>
          <w:sz w:val="22"/>
          <w:szCs w:val="22"/>
        </w:rPr>
        <w:t xml:space="preserve">→ </w:t>
      </w:r>
      <w:hyperlink w:history="1" r:id="rId1i0ndfih0ldmn_g1ziyhj">
        <w:r>
          <w:rPr>
            <w:rFonts w:ascii="Times New Roman" w:cs="Times New Roman" w:eastAsia="Times New Roman" w:hAnsi="Times New Roman"/>
            <w:color w:val="1155CC"/>
            <w:sz w:val="22"/>
            <w:szCs w:val="22"/>
            <w:u w:val="single" w:color="1155CC"/>
          </w:rPr>
          <w:t xml:space="preserve">Addict Aide — Addictions comportementales : mythe ou réalité clinique ?</w:t>
        </w:r>
      </w:hyperlink>
    </w:p>
    <w:p>
      <w:pPr>
        <w:spacing w:after="40" w:before="40"/>
      </w:pPr>
      <w:r>
        <w:rPr>
          <w:rFonts w:ascii="Times New Roman" w:cs="Times New Roman" w:eastAsia="Times New Roman" w:hAnsi="Times New Roman"/>
          <w:color w:val="1F2937"/>
          <w:sz w:val="22"/>
          <w:szCs w:val="22"/>
        </w:rPr>
        <w:t xml:space="preserve">→ </w:t>
      </w:r>
      <w:hyperlink w:history="1" r:id="rIdojj4nauk3f8wwcpa3libo">
        <w:r>
          <w:rPr>
            <w:rFonts w:ascii="Times New Roman" w:cs="Times New Roman" w:eastAsia="Times New Roman" w:hAnsi="Times New Roman"/>
            <w:color w:val="1155CC"/>
            <w:sz w:val="22"/>
            <w:szCs w:val="22"/>
            <w:u w:val="single" w:color="1155CC"/>
          </w:rPr>
          <w:t xml:space="preserve">HAS — Diagnostic du trouble de l'usage d'opioïdes (fiche PDF, mars 2022)</w:t>
        </w:r>
      </w:hyperlink>
    </w:p>
    <w:p>
      <w:pPr>
        <w:spacing w:after="40" w:before="40"/>
      </w:pPr>
      <w:r>
        <w:rPr>
          <w:rFonts w:ascii="Times New Roman" w:cs="Times New Roman" w:eastAsia="Times New Roman" w:hAnsi="Times New Roman"/>
          <w:color w:val="1F2937"/>
          <w:sz w:val="22"/>
          <w:szCs w:val="22"/>
        </w:rPr>
        <w:t xml:space="preserve">→ </w:t>
      </w:r>
      <w:hyperlink w:history="1" r:id="rIdy_xd-n5byaajrcbw60ysp">
        <w:r>
          <w:rPr>
            <w:rFonts w:ascii="Times New Roman" w:cs="Times New Roman" w:eastAsia="Times New Roman" w:hAnsi="Times New Roman"/>
            <w:color w:val="1155CC"/>
            <w:sz w:val="22"/>
            <w:szCs w:val="22"/>
            <w:u w:val="single" w:color="1155CC"/>
          </w:rPr>
          <w:t xml:space="preserve">MILDECA — Qu'est-ce qu'une addiction ? (portail gouvernemental)</w:t>
        </w:r>
      </w:hyperlink>
    </w:p>
    <w:p>
      <w:pPr>
        <w:spacing w:after="40" w:before="40"/>
      </w:pPr>
      <w:r>
        <w:rPr>
          <w:rFonts w:ascii="Times New Roman" w:cs="Times New Roman" w:eastAsia="Times New Roman" w:hAnsi="Times New Roman"/>
          <w:color w:val="1F2937"/>
          <w:sz w:val="22"/>
          <w:szCs w:val="22"/>
        </w:rPr>
        <w:t xml:space="preserve">→ </w:t>
      </w:r>
      <w:hyperlink w:history="1" r:id="rIdcbiqk0lf6vz2xyjwpnpyg">
        <w:r>
          <w:rPr>
            <w:rFonts w:ascii="Times New Roman" w:cs="Times New Roman" w:eastAsia="Times New Roman" w:hAnsi="Times New Roman"/>
            <w:color w:val="1155CC"/>
            <w:sz w:val="22"/>
            <w:szCs w:val="22"/>
            <w:u w:val="single" w:color="1155CC"/>
          </w:rPr>
          <w:t xml:space="preserve">OFDT — Addictions comportementales : synthèse des connaissances</w:t>
        </w:r>
      </w:hyperlink>
    </w:p>
    <w:p>
      <w:pPr>
        <w:pBdr>
          <w:bottom w:val="single" w:color="EEF2F7" w:sz="4"/>
        </w:pBdr>
        <w:spacing w:after="120" w:before="120"/>
      </w:pPr>
      <w:r>
        <w:t xml:space="preserve"/>
      </w:r>
    </w:p>
    <w:p>
      <w:pPr>
        <w:pStyle w:val="Heading2"/>
        <w:spacing w:after="120" w:before="280"/>
      </w:pPr>
      <w:r>
        <w:rPr>
          <w:rFonts w:ascii="Times New Roman" w:cs="Times New Roman" w:eastAsia="Times New Roman" w:hAnsi="Times New Roman"/>
          <w:b/>
          <w:bCs/>
          <w:color w:val="1B3A6B"/>
          <w:sz w:val="30"/>
          <w:szCs w:val="30"/>
        </w:rPr>
        <w:t xml:space="preserve">🔜 Prochaine leçon</w:t>
      </w:r>
    </w:p>
    <w:p>
      <w:pPr>
        <w:spacing w:after="60" w:before="60"/>
      </w:pPr>
      <w:r>
        <w:rPr>
          <w:rFonts w:ascii="Times New Roman" w:cs="Times New Roman" w:eastAsia="Times New Roman" w:hAnsi="Times New Roman"/>
          <w:b w:val="false"/>
          <w:bCs w:val="false"/>
          <w:i w:val="false"/>
          <w:iCs w:val="false"/>
          <w:color w:val="1F2937"/>
          <w:sz w:val="22"/>
          <w:szCs w:val="22"/>
        </w:rPr>
        <w:t xml:space="preserve">Leçon 12 / 20 — Psychotraumatisme, TSPT et trouble dissociatif</w:t>
      </w:r>
    </w:p>
    <w:p>
      <w:pPr>
        <w:spacing w:after="60" w:before="60"/>
      </w:pPr>
      <w:r>
        <w:rPr>
          <w:rFonts w:ascii="Times New Roman" w:cs="Times New Roman" w:eastAsia="Times New Roman" w:hAnsi="Times New Roman"/>
          <w:b w:val="false"/>
          <w:bCs w:val="false"/>
          <w:i w:val="false"/>
          <w:iCs w:val="false"/>
          <w:color w:val="1F2937"/>
          <w:sz w:val="22"/>
          <w:szCs w:val="22"/>
        </w:rPr>
        <w:t xml:space="preserve">Nous quitterons les comportements répétitifs et compulsifs pour aborder une autre grande trajectoire pathologique : celle de l'effraction traumatique. La prochaine leçon couvrira les mécanismes du traumatisme psychique, les critères du TSPT (DSM-5 / CIM-11), la dissociation comme réponse de survie, et les implications pour l'accompagnement des personnes ayant un parcours traumatique complexe — sujet particulièrement présent en ESSMS.</w:t>
      </w:r>
    </w:p>
    <w:p>
      <w:r>
        <w:t xml:space="preserve"/>
      </w:r>
    </w:p>
    <w:p>
      <w:pPr>
        <w:pBdr>
          <w:top w:val="single" w:color="EEF2F7" w:sz="4"/>
        </w:pBdr>
        <w:spacing w:before="200"/>
        <w:jc w:val="center"/>
      </w:pPr>
      <w:r>
        <w:rPr>
          <w:rFonts w:ascii="Times New Roman" w:cs="Times New Roman" w:eastAsia="Times New Roman" w:hAnsi="Times New Roman"/>
          <w:color w:val="9CA3AF"/>
          <w:sz w:val="18"/>
          <w:szCs w:val="18"/>
        </w:rPr>
        <w:t xml:space="preserve">Parcours Psychopathologie clinique · Leçon 11/20 · Usage strictement personnel · Non destiné à la pose de diagnostic</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_-mjy7eh0ja5uxzugj1q" Type="http://schemas.openxmlformats.org/officeDocument/2006/relationships/hyperlink" Target="https://www.ofdt.fr/glossaire/trouble-de-l-usage" TargetMode="External"/><Relationship Id="rIdzdmhkcgvxsrtdgsybzazo" Type="http://schemas.openxmlformats.org/officeDocument/2006/relationships/hyperlink" Target="https://www.addictaide.fr/quelles-evolutions-a-attendre-pour-les-diagnostics-addictologiques-dans-la-cim-11/" TargetMode="External"/><Relationship Id="rId1i0ndfih0ldmn_g1ziyhj" Type="http://schemas.openxmlformats.org/officeDocument/2006/relationships/hyperlink" Target="https://www.addictaide.fr/presse/addictions-comportementales-addictions-sans-substance-mythe-ou-realite-clinique/" TargetMode="External"/><Relationship Id="rIdojj4nauk3f8wwcpa3libo" Type="http://schemas.openxmlformats.org/officeDocument/2006/relationships/hyperlink" Target="https://www.has-sante.fr/upload/docs/application/pdf/2022-03/diagnostic_du_trouble_de_lusage_dopioides_-_fiche.pdf" TargetMode="External"/><Relationship Id="rIdy_xd-n5byaajrcbw60ysp" Type="http://schemas.openxmlformats.org/officeDocument/2006/relationships/hyperlink" Target="https://www.drogues.gouv.fr/quest-ce-quune-addiction" TargetMode="External"/><Relationship Id="rIdcbiqk0lf6vz2xyjwpnpyg" Type="http://schemas.openxmlformats.org/officeDocument/2006/relationships/hyperlink" Target="https://www.ofdt.fr/addictions-comportementales-synthese-des-connaissances-2068"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2026-08-17T06:08:12.561Z</dcterms:created>
  <dcterms:modified xsi:type="dcterms:W3CDTF">2026-08-17T06:08:12.562Z</dcterms:modified>
</cp:coreProperties>
</file>

<file path=docProps/custom.xml><?xml version="1.0" encoding="utf-8"?>
<Properties xmlns="http://schemas.openxmlformats.org/officeDocument/2006/custom-properties" xmlns:vt="http://schemas.openxmlformats.org/officeDocument/2006/docPropsVTypes"/>
</file>