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jc w:val="center"/>
      </w:pPr>
      <w:r>
        <w:rPr>
          <w:rFonts w:ascii="Times New Roman" w:cs="Times New Roman" w:eastAsia="Times New Roman" w:hAnsi="Times New Roman"/>
          <w:b/>
          <w:bCs/>
          <w:color w:val="1B3A6B"/>
          <w:sz w:val="52"/>
          <w:szCs w:val="52"/>
        </w:rPr>
        <w:t xml:space="preserve">Leçon Stoïcisme n°18 — Stoïcisme et thérapies cognitives</w:t>
      </w:r>
    </w:p>
    <w:p>
      <w:pPr>
        <w:spacing w:after="60"/>
        <w:jc w:val="center"/>
      </w:pPr>
      <w:r>
        <w:rPr>
          <w:rFonts w:ascii="Times New Roman" w:cs="Times New Roman" w:eastAsia="Times New Roman" w:hAnsi="Times New Roman"/>
          <w:b/>
          <w:bCs/>
          <w:i/>
          <w:iCs/>
          <w:color w:val="1B3A6B"/>
          <w:sz w:val="26"/>
          <w:szCs w:val="26"/>
        </w:rPr>
        <w:t xml:space="preserve">Une filiation revendiquée, et ce qu'elle vaut</w:t>
      </w:r>
    </w:p>
    <w:p>
      <w:pPr>
        <w:spacing w:after="300"/>
        <w:jc w:val="center"/>
      </w:pPr>
      <w:r>
        <w:rPr>
          <w:rFonts w:ascii="Times New Roman" w:cs="Times New Roman" w:eastAsia="Times New Roman" w:hAnsi="Times New Roman"/>
          <w:color w:val="1F2937"/>
          <w:sz w:val="20"/>
          <w:szCs w:val="20"/>
        </w:rPr>
        <w:t xml:space="preserve">8 octobre 2026  ·  Leçon 18 / 20</w:t>
      </w:r>
    </w:p>
    <w:p>
      <w:pPr>
        <w:pStyle w:val="Heading2"/>
        <w:spacing w:after="120" w:before="360"/>
      </w:pPr>
      <w:r>
        <w:rPr>
          <w:rFonts w:ascii="Times New Roman" w:cs="Times New Roman" w:eastAsia="Times New Roman" w:hAnsi="Times New Roman"/>
          <w:b/>
          <w:bCs/>
          <w:color w:val="1B3A6B"/>
          <w:sz w:val="30"/>
          <w:szCs w:val="30"/>
        </w:rPr>
        <w:t xml:space="preserve">🎯 Objectif et continuité</w:t>
      </w:r>
    </w:p>
    <w:p>
      <w:pPr>
        <w:spacing w:after="120"/>
      </w:pPr>
      <w:r>
        <w:rPr>
          <w:rFonts w:ascii="Times New Roman" w:cs="Times New Roman" w:eastAsia="Times New Roman" w:hAnsi="Times New Roman"/>
          <w:color w:val="1F2937"/>
          <w:sz w:val="22"/>
          <w:szCs w:val="22"/>
        </w:rPr>
        <w:t xml:space="preserve">À l'issue de cette leçon, tu sauras expliquer pourquoi Albert Ellis et Aaron Beck ont revendiqué une filiation stoïcienne pour leurs thérapies cognitives, identifier ce qui rapproche réellement les deux démarches, et nommer avec précision ce qui les distingue — en particulier ce que la filiation tend à effacer.</w:t>
      </w:r>
    </w:p>
    <w:p>
      <w:pPr>
        <w:spacing w:after="120"/>
      </w:pPr>
      <w:r>
        <w:rPr>
          <w:rFonts w:ascii="Times New Roman" w:cs="Times New Roman" w:eastAsia="Times New Roman" w:hAnsi="Times New Roman"/>
          <w:color w:val="1F2937"/>
          <w:sz w:val="22"/>
          <w:szCs w:val="22"/>
        </w:rPr>
        <w:t xml:space="preserve">Lien avec la leçon précédente (n°17) : la leçon 17 a montré comment le stoïcisme a irrigué la pensée chrétienne et nourri la postérité occidentale. La leçon 18 explore une autre ramification moderne : les thérapies cognitives du XXe siècle, qui ont explicitement revendiqué l'héritage stoïcien comme fondement philosophique — et dont il convient d'examiner la filiation aussi bien pour ce qu'elle éclaire que pour ce qu'elle simplifie.</w:t>
      </w:r>
    </w:p>
    <w:p>
      <w:pPr>
        <w:pStyle w:val="Heading2"/>
        <w:spacing w:after="120" w:before="360"/>
      </w:pPr>
      <w:r>
        <w:rPr>
          <w:rFonts w:ascii="Times New Roman" w:cs="Times New Roman" w:eastAsia="Times New Roman" w:hAnsi="Times New Roman"/>
          <w:b/>
          <w:bCs/>
          <w:color w:val="1B3A6B"/>
          <w:sz w:val="30"/>
          <w:szCs w:val="30"/>
        </w:rPr>
        <w:t xml:space="preserve">🔬 Théorie (20 %)</w:t>
      </w:r>
    </w:p>
    <w:p>
      <w:pPr>
        <w:pStyle w:val="Heading3"/>
        <w:spacing w:after="80" w:before="240"/>
      </w:pPr>
      <w:r>
        <w:rPr>
          <w:rFonts w:ascii="Times New Roman" w:cs="Times New Roman" w:eastAsia="Times New Roman" w:hAnsi="Times New Roman"/>
          <w:b/>
          <w:bCs/>
          <w:color w:val="1F2937"/>
          <w:sz w:val="26"/>
          <w:szCs w:val="26"/>
        </w:rPr>
        <w:t xml:space="preserve">1. La filiation revendiquée : Ellis, Beck, et l'ancêtre Épictète</w:t>
      </w:r>
    </w:p>
    <w:p>
      <w:pPr>
        <w:spacing w:after="120"/>
      </w:pPr>
      <w:r>
        <w:rPr>
          <w:rFonts w:ascii="Times New Roman" w:cs="Times New Roman" w:eastAsia="Times New Roman" w:hAnsi="Times New Roman"/>
          <w:color w:val="1F2937"/>
          <w:sz w:val="22"/>
          <w:szCs w:val="22"/>
        </w:rPr>
        <w:t xml:space="preserve">Le point d'origine de toute cette filiation est un passage bref et décisif de l'Enchiridion d'Épictète, que les fondateurs des thérapies cognitives ont placé au cœur de leur démarche :</w:t>
      </w:r>
    </w:p>
    <w:p>
      <w:pPr>
        <w:shd w:fill="F3F4F6" w:val="clear"/>
        <w:spacing w:after="120" w:before="120"/>
        <w:ind w:left="576" w:right="576"/>
      </w:pPr>
      <w:r>
        <w:rPr>
          <w:rFonts w:ascii="Times New Roman" w:cs="Times New Roman" w:eastAsia="Times New Roman" w:hAnsi="Times New Roman"/>
          <w:i/>
          <w:iCs/>
          <w:color w:val="1B3A6B"/>
          <w:sz w:val="22"/>
          <w:szCs w:val="22"/>
        </w:rPr>
        <w:t xml:space="preserve">« Men are disturbed, not by things, but by the principles and notions which they form concerning things. »</w:t>
      </w:r>
      <w:r>
        <w:rPr>
          <w:rFonts w:ascii="Times New Roman" w:cs="Times New Roman" w:eastAsia="Times New Roman" w:hAnsi="Times New Roman"/>
          <w:color w:val="1F2937"/>
          <w:sz w:val="20"/>
          <w:szCs w:val="20"/>
        </w:rPr>
        <w:t xml:space="preserve">  — Épictète, Enchiridion §5 (trad. George Long, MIT)</w:t>
      </w:r>
    </w:p>
    <w:p>
      <w:pPr>
        <w:spacing w:after="120"/>
      </w:pPr>
      <w:r>
        <w:rPr>
          <w:rFonts w:ascii="Times New Roman" w:cs="Times New Roman" w:eastAsia="Times New Roman" w:hAnsi="Times New Roman"/>
          <w:color w:val="1F2937"/>
          <w:sz w:val="22"/>
          <w:szCs w:val="22"/>
        </w:rPr>
        <w:t xml:space="preserve">Albert Ellis (1913-2007) a fondé en 1956 la Rational Emotive Behavior Therapy (REBT), considérée comme la première thérapie cognitive structurée. Dans ses écrits fondateurs, il a reconnu explicitement que ses principes centraux avaient été à l'origine découverts et formulés par les philosophes stoïciens antiques — il l'écrit dans ses travaux fondateurs, rapporté par Wikipedia (Rational emotive behavior therapy). Il enseignait systématiquement à ses patients la formulation d'Épictète en ouverture de thérapie.</w:t>
      </w:r>
    </w:p>
    <w:p>
      <w:pPr>
        <w:spacing w:after="120"/>
      </w:pPr>
      <w:r>
        <w:rPr>
          <w:rFonts w:ascii="Times New Roman" w:cs="Times New Roman" w:eastAsia="Times New Roman" w:hAnsi="Times New Roman"/>
          <w:color w:val="1F2937"/>
          <w:sz w:val="22"/>
          <w:szCs w:val="22"/>
        </w:rPr>
        <w:t xml:space="preserve">Aaron Beck, fondateur de la Thérapie Cognitive (TC), a de même écrit dans son manuel de traitement original de la dépression : « The philosophical origins of cognitive therapy can be traced back to the Stoic philosophers. » (Beck, cité dans Wikipedia, Cognitive behavioral therapy). Les deux fondateurs convergent donc sur un ancêtre commun revendiqué.</w:t>
      </w:r>
    </w:p>
    <w:p>
      <w:pPr>
        <w:pStyle w:val="Heading3"/>
        <w:spacing w:after="80" w:before="240"/>
      </w:pPr>
      <w:r>
        <w:rPr>
          <w:rFonts w:ascii="Times New Roman" w:cs="Times New Roman" w:eastAsia="Times New Roman" w:hAnsi="Times New Roman"/>
          <w:b/>
          <w:bCs/>
          <w:color w:val="1F2937"/>
          <w:sz w:val="26"/>
          <w:szCs w:val="26"/>
        </w:rPr>
        <w:t xml:space="preserve">2. Les précurseurs : de Dubois à la logothérapie</w:t>
      </w:r>
    </w:p>
    <w:p>
      <w:pPr>
        <w:spacing w:after="120"/>
      </w:pPr>
      <w:r>
        <w:rPr>
          <w:rFonts w:ascii="Times New Roman" w:cs="Times New Roman" w:eastAsia="Times New Roman" w:hAnsi="Times New Roman"/>
          <w:color w:val="1F2937"/>
          <w:sz w:val="22"/>
          <w:szCs w:val="22"/>
        </w:rPr>
        <w:t xml:space="preserve">Donald Robertson est un psychothérapeute TCC écossais, auteur de The Philosophy of Cognitive-Behavioural Therapy (Routledge, 2010) et de How to Think Like a Roman Emperor (2019) — ces données biographiques sont documentées par Wikipedia (Donald J. Robertson). Dans un article publié sur Modern Stoicism, Robertson retrace la filiation entre stoïcisme et psychothérapie moderne à travers des figures intermédiaires souvent oubliées.</w:t>
      </w:r>
    </w:p>
    <w:p>
      <w:pPr>
        <w:spacing w:after="120"/>
      </w:pPr>
      <w:r>
        <w:rPr>
          <w:rFonts w:ascii="Times New Roman" w:cs="Times New Roman" w:eastAsia="Times New Roman" w:hAnsi="Times New Roman"/>
          <w:color w:val="1F2937"/>
          <w:sz w:val="22"/>
          <w:szCs w:val="22"/>
        </w:rPr>
        <w:t xml:space="preserve">Selon Robertson, Paul Dubois, psychiatre suisse, développe en 1904 une « thérapie rationnelle » fondée sur le dialogue socratique. Dubois prescrit les Lettres à Lucilius de Sénèque comme devoir thérapeutique et pense que l'on souffre moins quand on regarde ses difficultés de manière objective — une formulation qui fait directement écho au §5 de l'Enchiridion. Robertson retrace également le rôle de Charles Baudouin, qui consacre en 1924 un chapitre entier de son ouvrage The Inner Discipline au stoïcisme, soulignant la dichotomie du contrôle et les méditations matinales comme outils thérapeutiques.</w:t>
      </w:r>
    </w:p>
    <w:p>
      <w:pPr>
        <w:spacing w:after="120"/>
      </w:pPr>
      <w:r>
        <w:rPr>
          <w:rFonts w:ascii="Times New Roman" w:cs="Times New Roman" w:eastAsia="Times New Roman" w:hAnsi="Times New Roman"/>
          <w:color w:val="1F2937"/>
          <w:sz w:val="22"/>
          <w:szCs w:val="22"/>
        </w:rPr>
        <w:t xml:space="preserve">Massimo Pigliucci (IEP, article Stoicism) note que le mouvement Modern Stoicism trace ses racines jusqu'à la logothérapie de Viktor Frankl, qui emprunte au stoïcisme la conviction que l'attitude face à ce qu'on ne peut changer reste du ressort de la liberté humaine — une résonance directe avec Épictète.</w:t>
      </w:r>
    </w:p>
    <w:p>
      <w:pPr>
        <w:pStyle w:val="Heading3"/>
        <w:spacing w:after="80" w:before="240"/>
      </w:pPr>
      <w:r>
        <w:rPr>
          <w:rFonts w:ascii="Times New Roman" w:cs="Times New Roman" w:eastAsia="Times New Roman" w:hAnsi="Times New Roman"/>
          <w:b/>
          <w:bCs/>
          <w:color w:val="1F2937"/>
          <w:sz w:val="26"/>
          <w:szCs w:val="26"/>
        </w:rPr>
        <w:t xml:space="preserve">3. Ce qui rapproche réellement les deux démarches</w:t>
      </w:r>
    </w:p>
    <w:p>
      <w:pPr>
        <w:spacing w:after="120"/>
      </w:pPr>
      <w:r>
        <w:rPr>
          <w:rFonts w:ascii="Times New Roman" w:cs="Times New Roman" w:eastAsia="Times New Roman" w:hAnsi="Times New Roman"/>
          <w:color w:val="1F2937"/>
          <w:sz w:val="22"/>
          <w:szCs w:val="22"/>
        </w:rPr>
        <w:t xml:space="preserve">La parenté n'est pas factice. Plusieurs points de convergence sont réels et documentés :</w:t>
      </w:r>
    </w:p>
    <w:p>
      <w:pPr>
        <w:pStyle w:val="ListParagraph"/>
        <w:numPr>
          <w:ilvl w:val="0"/>
          <w:numId w:val="1"/>
        </w:numPr>
        <w:spacing w:after="60"/>
      </w:pPr>
      <w:r>
        <w:rPr>
          <w:rFonts w:ascii="Times New Roman" w:cs="Times New Roman" w:eastAsia="Times New Roman" w:hAnsi="Times New Roman"/>
          <w:b/>
          <w:bCs/>
          <w:color w:val="1F2937"/>
          <w:sz w:val="22"/>
          <w:szCs w:val="22"/>
        </w:rPr>
        <w:t xml:space="preserve">Le principe fondateur commun : </w:t>
      </w:r>
      <w:r>
        <w:rPr>
          <w:rFonts w:ascii="Times New Roman" w:cs="Times New Roman" w:eastAsia="Times New Roman" w:hAnsi="Times New Roman"/>
          <w:color w:val="1F2937"/>
          <w:sz w:val="22"/>
          <w:szCs w:val="22"/>
        </w:rPr>
        <w:t xml:space="preserve">ce ne sont pas les événements qui perturbent, mais les jugements que nous portons sur eux. Ce principe, formulé en §5 de l'Enchiridion, est le socle explicite du modèle ABC d'Ellis (Activating event – Belief – Consequence) et de la restructuration cognitive de Beck.</w:t>
      </w:r>
    </w:p>
    <w:p>
      <w:pPr>
        <w:pStyle w:val="ListParagraph"/>
        <w:numPr>
          <w:ilvl w:val="0"/>
          <w:numId w:val="1"/>
        </w:numPr>
        <w:spacing w:after="60"/>
      </w:pPr>
      <w:r>
        <w:rPr>
          <w:rFonts w:ascii="Times New Roman" w:cs="Times New Roman" w:eastAsia="Times New Roman" w:hAnsi="Times New Roman"/>
          <w:b/>
          <w:bCs/>
          <w:color w:val="1F2937"/>
          <w:sz w:val="22"/>
          <w:szCs w:val="22"/>
        </w:rPr>
        <w:t xml:space="preserve">Le travail sur les représentations : </w:t>
      </w:r>
      <w:r>
        <w:rPr>
          <w:rFonts w:ascii="Times New Roman" w:cs="Times New Roman" w:eastAsia="Times New Roman" w:hAnsi="Times New Roman"/>
          <w:color w:val="1F2937"/>
          <w:sz w:val="22"/>
          <w:szCs w:val="22"/>
        </w:rPr>
        <w:t xml:space="preserve">stoïcisme et TCC partagent l'idée que les émotions dysfonctionnelles naissent de représentations fautives (phantasiai pour les Stoïciens, automatic thoughts chez Beck) et que l'on peut agir sur ces représentations par la raison.</w:t>
      </w:r>
    </w:p>
    <w:p>
      <w:pPr>
        <w:pStyle w:val="ListParagraph"/>
        <w:numPr>
          <w:ilvl w:val="0"/>
          <w:numId w:val="1"/>
        </w:numPr>
        <w:spacing w:after="60"/>
      </w:pPr>
      <w:r>
        <w:rPr>
          <w:rFonts w:ascii="Times New Roman" w:cs="Times New Roman" w:eastAsia="Times New Roman" w:hAnsi="Times New Roman"/>
          <w:b/>
          <w:bCs/>
          <w:color w:val="1F2937"/>
          <w:sz w:val="22"/>
          <w:szCs w:val="22"/>
        </w:rPr>
        <w:t xml:space="preserve">Les exercices pratiques : </w:t>
      </w:r>
      <w:r>
        <w:rPr>
          <w:rFonts w:ascii="Times New Roman" w:cs="Times New Roman" w:eastAsia="Times New Roman" w:hAnsi="Times New Roman"/>
          <w:color w:val="1F2937"/>
          <w:sz w:val="22"/>
          <w:szCs w:val="22"/>
        </w:rPr>
        <w:t xml:space="preserve">Tim LeBon, thérapeute et membre du Modern Stoicism, montre que sept erreurs cognitives classiques de la TCC (surgénéralisation, pensée en tout-ou-rien, catastrophisme, etc.) ont leurs pendants dans les pratiques stoïciennes. Journal stoïcien et journal TCC partagent la même logique d'auto-observation distanciée.</w:t>
      </w:r>
    </w:p>
    <w:p>
      <w:pPr>
        <w:pStyle w:val="ListParagraph"/>
        <w:numPr>
          <w:ilvl w:val="0"/>
          <w:numId w:val="1"/>
        </w:numPr>
        <w:spacing w:after="60"/>
      </w:pPr>
      <w:r>
        <w:rPr>
          <w:rFonts w:ascii="Times New Roman" w:cs="Times New Roman" w:eastAsia="Times New Roman" w:hAnsi="Times New Roman"/>
          <w:b/>
          <w:bCs/>
          <w:color w:val="1F2937"/>
          <w:sz w:val="22"/>
          <w:szCs w:val="22"/>
        </w:rPr>
        <w:t xml:space="preserve">La distanciation cognitive : </w:t>
      </w:r>
      <w:r>
        <w:rPr>
          <w:rFonts w:ascii="Times New Roman" w:cs="Times New Roman" w:eastAsia="Times New Roman" w:hAnsi="Times New Roman"/>
          <w:color w:val="1F2937"/>
          <w:sz w:val="22"/>
          <w:szCs w:val="22"/>
        </w:rPr>
        <w:t xml:space="preserve">la TCC moderne parle de cognitive distancing (Beck) ; le stoïcisme parle de jugement assenté. Les deux invitent à ne pas s'identifier à ses propres représentations — à « faire un pas en arrière » face à ses propres pensées.</w:t>
      </w:r>
    </w:p>
    <w:p>
      <w:pPr>
        <w:pStyle w:val="Heading3"/>
        <w:spacing w:after="80" w:before="240"/>
      </w:pPr>
      <w:r>
        <w:rPr>
          <w:rFonts w:ascii="Times New Roman" w:cs="Times New Roman" w:eastAsia="Times New Roman" w:hAnsi="Times New Roman"/>
          <w:b/>
          <w:bCs/>
          <w:color w:val="1F2937"/>
          <w:sz w:val="26"/>
          <w:szCs w:val="26"/>
        </w:rPr>
        <w:t xml:space="preserve">4. Ce que la filiation tend à effacer — les différences fondamentales</w:t>
      </w:r>
    </w:p>
    <w:p>
      <w:pPr>
        <w:spacing w:after="120"/>
      </w:pPr>
      <w:r>
        <w:rPr>
          <w:rFonts w:ascii="Times New Roman" w:cs="Times New Roman" w:eastAsia="Times New Roman" w:hAnsi="Times New Roman"/>
          <w:color w:val="1F2937"/>
          <w:sz w:val="22"/>
          <w:szCs w:val="22"/>
        </w:rPr>
        <w:t xml:space="preserve">La revendication de filiation dit ce que les thérapies cognitives doivent au stoïcisme ; elle dit moins ce qu'elles en ont retranché, transformé ou simplement ignoré. Plusieurs différences de fond méritent d'être nommées.</w:t>
      </w:r>
    </w:p>
    <w:p>
      <w:pPr>
        <w:pStyle w:val="ListParagraph"/>
        <w:numPr>
          <w:ilvl w:val="0"/>
          <w:numId w:val="1"/>
        </w:numPr>
        <w:spacing w:after="60"/>
      </w:pPr>
      <w:r>
        <w:rPr>
          <w:rFonts w:ascii="Times New Roman" w:cs="Times New Roman" w:eastAsia="Times New Roman" w:hAnsi="Times New Roman"/>
          <w:b/>
          <w:bCs/>
          <w:color w:val="1F2937"/>
          <w:sz w:val="22"/>
          <w:szCs w:val="22"/>
        </w:rPr>
        <w:t xml:space="preserve">Finalité : thérapie vs mode de vie complet. </w:t>
      </w:r>
      <w:r>
        <w:rPr>
          <w:rFonts w:ascii="Times New Roman" w:cs="Times New Roman" w:eastAsia="Times New Roman" w:hAnsi="Times New Roman"/>
          <w:color w:val="1F2937"/>
          <w:sz w:val="22"/>
          <w:szCs w:val="22"/>
        </w:rPr>
        <w:t xml:space="preserve">La TCC vise à réduire la souffrance psychique mesurable ; le Stoïcisme vise la vertu (arétè) et la vie conforme à la Nature. Chez Épictète, la guérison émotionnelle n'est que le premier niveau d'un programme moral et cosmologique.</w:t>
      </w:r>
    </w:p>
    <w:p>
      <w:pPr>
        <w:pStyle w:val="ListParagraph"/>
        <w:numPr>
          <w:ilvl w:val="0"/>
          <w:numId w:val="1"/>
        </w:numPr>
        <w:spacing w:after="60"/>
      </w:pPr>
      <w:r>
        <w:rPr>
          <w:rFonts w:ascii="Times New Roman" w:cs="Times New Roman" w:eastAsia="Times New Roman" w:hAnsi="Times New Roman"/>
          <w:b/>
          <w:bCs/>
          <w:color w:val="1F2937"/>
          <w:sz w:val="22"/>
          <w:szCs w:val="22"/>
        </w:rPr>
        <w:t xml:space="preserve">Le cosmos stoïcien est absent de la TCC. </w:t>
      </w:r>
      <w:r>
        <w:rPr>
          <w:rFonts w:ascii="Times New Roman" w:cs="Times New Roman" w:eastAsia="Times New Roman" w:hAnsi="Times New Roman"/>
          <w:color w:val="1F2937"/>
          <w:sz w:val="22"/>
          <w:szCs w:val="22"/>
        </w:rPr>
        <w:t xml:space="preserve">La physique stoïcienne — logos, Providence, sympatheia, tout-est-lié — n'a aucun équivalent en TCC. Ellis était explicitement athée. Le stoïcisme est ancré dans une vision du monde qui fonde la dichotomie du contrôle non pas sur l'efficacité thérapeutique mais sur l'ordre du cosmos.</w:t>
      </w:r>
    </w:p>
    <w:p>
      <w:pPr>
        <w:pStyle w:val="ListParagraph"/>
        <w:numPr>
          <w:ilvl w:val="0"/>
          <w:numId w:val="1"/>
        </w:numPr>
        <w:spacing w:after="60"/>
      </w:pPr>
      <w:r>
        <w:rPr>
          <w:rFonts w:ascii="Times New Roman" w:cs="Times New Roman" w:eastAsia="Times New Roman" w:hAnsi="Times New Roman"/>
          <w:b/>
          <w:bCs/>
          <w:color w:val="1F2937"/>
          <w:sz w:val="22"/>
          <w:szCs w:val="22"/>
        </w:rPr>
        <w:t xml:space="preserve">La radicalité de la dichotomie stoïcienne. </w:t>
      </w:r>
      <w:r>
        <w:rPr>
          <w:rFonts w:ascii="Times New Roman" w:cs="Times New Roman" w:eastAsia="Times New Roman" w:hAnsi="Times New Roman"/>
          <w:color w:val="1F2937"/>
          <w:sz w:val="22"/>
          <w:szCs w:val="22"/>
        </w:rPr>
        <w:t xml:space="preserve">Pour Épictète, seul le prohairesis (la volonté rationnelle) est « en notre pouvoir » ; tout le reste — corps, réputation, richesse — est extérieur. La TCC ne va pas aussi loin : elle travaille sur les comportements et l'environnement, pas seulement sur les représentations.</w:t>
      </w:r>
    </w:p>
    <w:p>
      <w:pPr>
        <w:pStyle w:val="ListParagraph"/>
        <w:numPr>
          <w:ilvl w:val="0"/>
          <w:numId w:val="1"/>
        </w:numPr>
        <w:spacing w:after="60"/>
      </w:pPr>
      <w:r>
        <w:rPr>
          <w:rFonts w:ascii="Times New Roman" w:cs="Times New Roman" w:eastAsia="Times New Roman" w:hAnsi="Times New Roman"/>
          <w:b/>
          <w:bCs/>
          <w:color w:val="1F2937"/>
          <w:sz w:val="22"/>
          <w:szCs w:val="22"/>
        </w:rPr>
        <w:t xml:space="preserve">La 3e vague de la TCC se tourne vers le bouddhisme, pas vers le stoïcisme. </w:t>
      </w:r>
      <w:r>
        <w:rPr>
          <w:rFonts w:ascii="Times New Roman" w:cs="Times New Roman" w:eastAsia="Times New Roman" w:hAnsi="Times New Roman"/>
          <w:color w:val="1F2937"/>
          <w:sz w:val="22"/>
          <w:szCs w:val="22"/>
        </w:rPr>
        <w:t xml:space="preserve">L'ACT (Acceptance and Commitment Therapy) et la MBCT (Mindfulness-Based CBT) intègrent la pleine conscience bouddhiste et la notion d'acceptation. Sur ce versant, la filiation stoïcienne s'efface au profit d'une autre tradition.</w:t>
      </w:r>
    </w:p>
    <w:p>
      <w:pPr>
        <w:pStyle w:val="ListParagraph"/>
        <w:numPr>
          <w:ilvl w:val="0"/>
          <w:numId w:val="1"/>
        </w:numPr>
        <w:spacing w:after="60"/>
      </w:pPr>
      <w:r>
        <w:rPr>
          <w:rFonts w:ascii="Times New Roman" w:cs="Times New Roman" w:eastAsia="Times New Roman" w:hAnsi="Times New Roman"/>
          <w:b/>
          <w:bCs/>
          <w:color w:val="1F2937"/>
          <w:sz w:val="22"/>
          <w:szCs w:val="22"/>
        </w:rPr>
        <w:t xml:space="preserve">Ellis athée vs le stoïcisme cosmique. </w:t>
      </w:r>
      <w:r>
        <w:rPr>
          <w:rFonts w:ascii="Times New Roman" w:cs="Times New Roman" w:eastAsia="Times New Roman" w:hAnsi="Times New Roman"/>
          <w:color w:val="1F2937"/>
          <w:sz w:val="22"/>
          <w:szCs w:val="22"/>
        </w:rPr>
        <w:t xml:space="preserve">Ellis rejetait explicitement toute fondation divine ou cosmologique de l'éthique. Comme le souligne David Alexander, cette divergence crée une tension : la "raison" de la TCC est un outil clinique ; la raison stoïcienne est une participation au logos universel.</w:t>
      </w:r>
    </w:p>
    <w:p>
      <w:pPr>
        <w:spacing w:after="80"/>
      </w:pPr>
      <w:r>
        <w:rPr>
          <w:sz w:val="22"/>
          <w:szCs w:val="22"/>
        </w:rPr>
        <w:t xml:space="preserve"/>
      </w:r>
    </w:p>
    <w:p>
      <w:pPr>
        <w:spacing w:after="120"/>
      </w:pPr>
      <w:r>
        <w:rPr>
          <w:rFonts w:ascii="Times New Roman" w:cs="Times New Roman" w:eastAsia="Times New Roman" w:hAnsi="Times New Roman"/>
          <w:color w:val="1F2937"/>
          <w:sz w:val="22"/>
          <w:szCs w:val="22"/>
        </w:rPr>
        <w:t xml:space="preserve">Le tableau ci-dessous synthétise les principales convergences et divergences :</w:t>
      </w:r>
    </w:p>
    <w:p>
      <w:pPr>
        <w:spacing w:after="80"/>
      </w:pPr>
      <w:r>
        <w:rPr>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1B3A6B" w:val="clear"/>
          </w:tcPr>
          <w:p>
            <w:pPr>
              <w:jc w:val="center"/>
            </w:pPr>
            <w:r>
              <w:rPr>
                <w:rFonts w:ascii="Times New Roman" w:cs="Times New Roman" w:eastAsia="Times New Roman" w:hAnsi="Times New Roman"/>
                <w:b/>
                <w:bCs/>
                <w:color w:val="FFFFFF"/>
                <w:sz w:val="22"/>
                <w:szCs w:val="22"/>
              </w:rPr>
              <w:t xml:space="preserve">Critère</w:t>
            </w:r>
          </w:p>
        </w:tc>
        <w:tc>
          <w:tcPr>
            <w:tcW w:type="pct" w:w="33%"/>
            <w:shd w:fill="1B3A6B" w:val="clear"/>
          </w:tcPr>
          <w:p>
            <w:pPr>
              <w:jc w:val="center"/>
            </w:pPr>
            <w:r>
              <w:rPr>
                <w:rFonts w:ascii="Times New Roman" w:cs="Times New Roman" w:eastAsia="Times New Roman" w:hAnsi="Times New Roman"/>
                <w:b/>
                <w:bCs/>
                <w:color w:val="FFFFFF"/>
                <w:sz w:val="22"/>
                <w:szCs w:val="22"/>
              </w:rPr>
              <w:t xml:space="preserve">Stoïcisme</w:t>
            </w:r>
          </w:p>
        </w:tc>
        <w:tc>
          <w:tcPr>
            <w:tcW w:type="pct" w:w="33%"/>
            <w:shd w:fill="1B3A6B" w:val="clear"/>
          </w:tcPr>
          <w:p>
            <w:pPr>
              <w:jc w:val="center"/>
            </w:pPr>
            <w:r>
              <w:rPr>
                <w:rFonts w:ascii="Times New Roman" w:cs="Times New Roman" w:eastAsia="Times New Roman" w:hAnsi="Times New Roman"/>
                <w:b/>
                <w:bCs/>
                <w:color w:val="FFFFFF"/>
                <w:sz w:val="22"/>
                <w:szCs w:val="22"/>
              </w:rPr>
              <w:t xml:space="preserve">TCC / REBT</w:t>
            </w:r>
          </w:p>
        </w:tc>
      </w:tr>
      <w:tr>
        <w:tc>
          <w:tcPr>
            <w:tcW w:type="pct" w:w="33%"/>
            <w:shd w:fill="EEF2F7" w:val="clear"/>
          </w:tcPr>
          <w:p>
            <w:r>
              <w:rPr>
                <w:rFonts w:ascii="Times New Roman" w:cs="Times New Roman" w:eastAsia="Times New Roman" w:hAnsi="Times New Roman"/>
                <w:color w:val="1F2937"/>
                <w:sz w:val="20"/>
                <w:szCs w:val="20"/>
              </w:rPr>
              <w:t xml:space="preserve">Objectif premier</w:t>
            </w:r>
          </w:p>
        </w:tc>
        <w:tc>
          <w:tcPr>
            <w:tcW w:type="pct" w:w="33%"/>
            <w:shd w:fill="EEF2F7" w:val="clear"/>
          </w:tcPr>
          <w:p>
            <w:r>
              <w:rPr>
                <w:rFonts w:ascii="Times New Roman" w:cs="Times New Roman" w:eastAsia="Times New Roman" w:hAnsi="Times New Roman"/>
                <w:color w:val="1F2937"/>
                <w:sz w:val="20"/>
                <w:szCs w:val="20"/>
              </w:rPr>
              <w:t xml:space="preserve">Vie vertueuse selon la Nature</w:t>
            </w:r>
          </w:p>
        </w:tc>
        <w:tc>
          <w:tcPr>
            <w:tcW w:type="pct" w:w="33%"/>
            <w:shd w:fill="EEF2F7" w:val="clear"/>
          </w:tcPr>
          <w:p>
            <w:r>
              <w:rPr>
                <w:rFonts w:ascii="Times New Roman" w:cs="Times New Roman" w:eastAsia="Times New Roman" w:hAnsi="Times New Roman"/>
                <w:color w:val="1F2937"/>
                <w:sz w:val="20"/>
                <w:szCs w:val="20"/>
              </w:rPr>
              <w:t xml:space="preserve">Réduire la souffrance psychique</w:t>
            </w:r>
          </w:p>
        </w:tc>
      </w:tr>
      <w:tr>
        <w:tc>
          <w:tcPr>
            <w:tcW w:type="pct" w:w="33%"/>
            <w:shd w:fill="FFFFFF" w:val="clear"/>
          </w:tcPr>
          <w:p>
            <w:r>
              <w:rPr>
                <w:rFonts w:ascii="Times New Roman" w:cs="Times New Roman" w:eastAsia="Times New Roman" w:hAnsi="Times New Roman"/>
                <w:color w:val="1F2937"/>
                <w:sz w:val="20"/>
                <w:szCs w:val="20"/>
              </w:rPr>
              <w:t xml:space="preserve">Cadre</w:t>
            </w:r>
          </w:p>
        </w:tc>
        <w:tc>
          <w:tcPr>
            <w:tcW w:type="pct" w:w="33%"/>
            <w:shd w:fill="FFFFFF" w:val="clear"/>
          </w:tcPr>
          <w:p>
            <w:r>
              <w:rPr>
                <w:rFonts w:ascii="Times New Roman" w:cs="Times New Roman" w:eastAsia="Times New Roman" w:hAnsi="Times New Roman"/>
                <w:color w:val="1F2937"/>
                <w:sz w:val="20"/>
                <w:szCs w:val="20"/>
              </w:rPr>
              <w:t xml:space="preserve">Mode de vie complet (physique, logique, éthique)</w:t>
            </w:r>
          </w:p>
        </w:tc>
        <w:tc>
          <w:tcPr>
            <w:tcW w:type="pct" w:w="33%"/>
            <w:shd w:fill="FFFFFF" w:val="clear"/>
          </w:tcPr>
          <w:p>
            <w:r>
              <w:rPr>
                <w:rFonts w:ascii="Times New Roman" w:cs="Times New Roman" w:eastAsia="Times New Roman" w:hAnsi="Times New Roman"/>
                <w:color w:val="1F2937"/>
                <w:sz w:val="20"/>
                <w:szCs w:val="20"/>
              </w:rPr>
              <w:t xml:space="preserve">Thérapie ciblée, protocole clinique</w:t>
            </w:r>
          </w:p>
        </w:tc>
      </w:tr>
      <w:tr>
        <w:tc>
          <w:tcPr>
            <w:tcW w:type="pct" w:w="33%"/>
            <w:shd w:fill="EEF2F7" w:val="clear"/>
          </w:tcPr>
          <w:p>
            <w:r>
              <w:rPr>
                <w:rFonts w:ascii="Times New Roman" w:cs="Times New Roman" w:eastAsia="Times New Roman" w:hAnsi="Times New Roman"/>
                <w:color w:val="1F2937"/>
                <w:sz w:val="20"/>
                <w:szCs w:val="20"/>
              </w:rPr>
              <w:t xml:space="preserve">Vision du cosmos</w:t>
            </w:r>
          </w:p>
        </w:tc>
        <w:tc>
          <w:tcPr>
            <w:tcW w:type="pct" w:w="33%"/>
            <w:shd w:fill="EEF2F7" w:val="clear"/>
          </w:tcPr>
          <w:p>
            <w:r>
              <w:rPr>
                <w:rFonts w:ascii="Times New Roman" w:cs="Times New Roman" w:eastAsia="Times New Roman" w:hAnsi="Times New Roman"/>
                <w:color w:val="1F2937"/>
                <w:sz w:val="20"/>
                <w:szCs w:val="20"/>
              </w:rPr>
              <w:t xml:space="preserve">Providence, logos, tout est lié</w:t>
            </w:r>
          </w:p>
        </w:tc>
        <w:tc>
          <w:tcPr>
            <w:tcW w:type="pct" w:w="33%"/>
            <w:shd w:fill="EEF2F7" w:val="clear"/>
          </w:tcPr>
          <w:p>
            <w:r>
              <w:rPr>
                <w:rFonts w:ascii="Times New Roman" w:cs="Times New Roman" w:eastAsia="Times New Roman" w:hAnsi="Times New Roman"/>
                <w:color w:val="1F2937"/>
                <w:sz w:val="20"/>
                <w:szCs w:val="20"/>
              </w:rPr>
              <w:t xml:space="preserve">Neutre / athée / pragmatique</w:t>
            </w:r>
          </w:p>
        </w:tc>
      </w:tr>
      <w:tr>
        <w:tc>
          <w:tcPr>
            <w:tcW w:type="pct" w:w="33%"/>
            <w:shd w:fill="FFFFFF" w:val="clear"/>
          </w:tcPr>
          <w:p>
            <w:r>
              <w:rPr>
                <w:rFonts w:ascii="Times New Roman" w:cs="Times New Roman" w:eastAsia="Times New Roman" w:hAnsi="Times New Roman"/>
                <w:color w:val="1F2937"/>
                <w:sz w:val="20"/>
                <w:szCs w:val="20"/>
              </w:rPr>
              <w:t xml:space="preserve">Émotions négatives</w:t>
            </w:r>
          </w:p>
        </w:tc>
        <w:tc>
          <w:tcPr>
            <w:tcW w:type="pct" w:w="33%"/>
            <w:shd w:fill="FFFFFF" w:val="clear"/>
          </w:tcPr>
          <w:p>
            <w:r>
              <w:rPr>
                <w:rFonts w:ascii="Times New Roman" w:cs="Times New Roman" w:eastAsia="Times New Roman" w:hAnsi="Times New Roman"/>
                <w:color w:val="1F2937"/>
                <w:sz w:val="20"/>
                <w:szCs w:val="20"/>
              </w:rPr>
              <w:t xml:space="preserve">À transformer par la raison et le jugement</w:t>
            </w:r>
          </w:p>
        </w:tc>
        <w:tc>
          <w:tcPr>
            <w:tcW w:type="pct" w:w="33%"/>
            <w:shd w:fill="FFFFFF" w:val="clear"/>
          </w:tcPr>
          <w:p>
            <w:r>
              <w:rPr>
                <w:rFonts w:ascii="Times New Roman" w:cs="Times New Roman" w:eastAsia="Times New Roman" w:hAnsi="Times New Roman"/>
                <w:color w:val="1F2937"/>
                <w:sz w:val="20"/>
                <w:szCs w:val="20"/>
              </w:rPr>
              <w:t xml:space="preserve">À identifier et restructurer</w:t>
            </w:r>
          </w:p>
        </w:tc>
      </w:tr>
      <w:tr>
        <w:tc>
          <w:tcPr>
            <w:tcW w:type="pct" w:w="33%"/>
            <w:shd w:fill="EEF2F7" w:val="clear"/>
          </w:tcPr>
          <w:p>
            <w:r>
              <w:rPr>
                <w:rFonts w:ascii="Times New Roman" w:cs="Times New Roman" w:eastAsia="Times New Roman" w:hAnsi="Times New Roman"/>
                <w:color w:val="1F2937"/>
                <w:sz w:val="20"/>
                <w:szCs w:val="20"/>
              </w:rPr>
              <w:t xml:space="preserve">Outils</w:t>
            </w:r>
          </w:p>
        </w:tc>
        <w:tc>
          <w:tcPr>
            <w:tcW w:type="pct" w:w="33%"/>
            <w:shd w:fill="EEF2F7" w:val="clear"/>
          </w:tcPr>
          <w:p>
            <w:r>
              <w:rPr>
                <w:rFonts w:ascii="Times New Roman" w:cs="Times New Roman" w:eastAsia="Times New Roman" w:hAnsi="Times New Roman"/>
                <w:color w:val="1F2937"/>
                <w:sz w:val="20"/>
                <w:szCs w:val="20"/>
              </w:rPr>
              <w:t xml:space="preserve">Journal, méditation, premeditatio, vue d'en haut</w:t>
            </w:r>
          </w:p>
        </w:tc>
        <w:tc>
          <w:tcPr>
            <w:tcW w:type="pct" w:w="33%"/>
            <w:shd w:fill="EEF2F7" w:val="clear"/>
          </w:tcPr>
          <w:p>
            <w:r>
              <w:rPr>
                <w:rFonts w:ascii="Times New Roman" w:cs="Times New Roman" w:eastAsia="Times New Roman" w:hAnsi="Times New Roman"/>
                <w:color w:val="1F2937"/>
                <w:sz w:val="20"/>
                <w:szCs w:val="20"/>
              </w:rPr>
              <w:t xml:space="preserve">Fiche ABC, questionnement socratique, ERP</w:t>
            </w:r>
          </w:p>
        </w:tc>
      </w:tr>
      <w:tr>
        <w:tc>
          <w:tcPr>
            <w:tcW w:type="pct" w:w="33%"/>
            <w:shd w:fill="FFFFFF" w:val="clear"/>
          </w:tcPr>
          <w:p>
            <w:r>
              <w:rPr>
                <w:rFonts w:ascii="Times New Roman" w:cs="Times New Roman" w:eastAsia="Times New Roman" w:hAnsi="Times New Roman"/>
                <w:color w:val="1F2937"/>
                <w:sz w:val="20"/>
                <w:szCs w:val="20"/>
              </w:rPr>
              <w:t xml:space="preserve">3e vague TCC</w:t>
            </w:r>
          </w:p>
        </w:tc>
        <w:tc>
          <w:tcPr>
            <w:tcW w:type="pct" w:w="33%"/>
            <w:shd w:fill="FFFFFF" w:val="clear"/>
          </w:tcPr>
          <w:p>
            <w:r>
              <w:rPr>
                <w:rFonts w:ascii="Times New Roman" w:cs="Times New Roman" w:eastAsia="Times New Roman" w:hAnsi="Times New Roman"/>
                <w:color w:val="1F2937"/>
                <w:sz w:val="20"/>
                <w:szCs w:val="20"/>
              </w:rPr>
              <w:t xml:space="preserve">Non concerné</w:t>
            </w:r>
          </w:p>
        </w:tc>
        <w:tc>
          <w:tcPr>
            <w:tcW w:type="pct" w:w="33%"/>
            <w:shd w:fill="FFFFFF" w:val="clear"/>
          </w:tcPr>
          <w:p>
            <w:r>
              <w:rPr>
                <w:rFonts w:ascii="Times New Roman" w:cs="Times New Roman" w:eastAsia="Times New Roman" w:hAnsi="Times New Roman"/>
                <w:color w:val="1F2937"/>
                <w:sz w:val="20"/>
                <w:szCs w:val="20"/>
              </w:rPr>
              <w:t xml:space="preserve">Pleine conscience (bouddhiste) + acceptation</w:t>
            </w:r>
          </w:p>
        </w:tc>
      </w:tr>
    </w:tbl>
    <w:p>
      <w:pPr>
        <w:spacing w:after="80"/>
      </w:pPr>
      <w:r>
        <w:rPr>
          <w:sz w:val="22"/>
          <w:szCs w:val="22"/>
        </w:rPr>
        <w:t xml:space="preserve"/>
      </w:r>
    </w:p>
    <w:p>
      <w:pPr>
        <w:pStyle w:val="Heading2"/>
        <w:spacing w:after="120" w:before="360"/>
      </w:pPr>
      <w:r>
        <w:rPr>
          <w:rFonts w:ascii="Times New Roman" w:cs="Times New Roman" w:eastAsia="Times New Roman" w:hAnsi="Times New Roman"/>
          <w:b/>
          <w:bCs/>
          <w:color w:val="1B3A6B"/>
          <w:sz w:val="30"/>
          <w:szCs w:val="30"/>
        </w:rPr>
        <w:t xml:space="preserve">🛠️ Pratique (80 %)</w:t>
      </w:r>
    </w:p>
    <w:p>
      <w:pPr>
        <w:pStyle w:val="Heading3"/>
        <w:spacing w:after="80" w:before="240"/>
      </w:pPr>
      <w:r>
        <w:rPr>
          <w:rFonts w:ascii="Times New Roman" w:cs="Times New Roman" w:eastAsia="Times New Roman" w:hAnsi="Times New Roman"/>
          <w:b/>
          <w:bCs/>
          <w:color w:val="1F2937"/>
          <w:sz w:val="26"/>
          <w:szCs w:val="26"/>
        </w:rPr>
        <w:t xml:space="preserve">Exercice 1 — Le modèle ABC appliqué à une situation personnelle</w:t>
      </w:r>
    </w:p>
    <w:p>
      <w:pPr>
        <w:spacing w:after="120"/>
      </w:pPr>
      <w:r>
        <w:rPr>
          <w:rFonts w:ascii="Times New Roman" w:cs="Times New Roman" w:eastAsia="Times New Roman" w:hAnsi="Times New Roman"/>
          <w:color w:val="1F2937"/>
          <w:sz w:val="22"/>
          <w:szCs w:val="22"/>
        </w:rPr>
        <w:t xml:space="preserve">Le modèle ABC d'Ellis est l'outil central de la REBT pour mettre en lumière le rôle des croyances dans la souffrance émotionnelle.</w:t>
      </w:r>
    </w:p>
    <w:p>
      <w:pPr>
        <w:spacing w:after="120"/>
      </w:pPr>
      <w:r>
        <w:rPr>
          <w:rFonts w:ascii="Times New Roman" w:cs="Times New Roman" w:eastAsia="Times New Roman" w:hAnsi="Times New Roman"/>
          <w:color w:val="1F2937"/>
          <w:sz w:val="22"/>
          <w:szCs w:val="22"/>
        </w:rPr>
        <w:t xml:space="preserve">Protocole :</w:t>
      </w:r>
    </w:p>
    <w:p>
      <w:pPr>
        <w:pStyle w:val="ListParagraph"/>
        <w:numPr>
          <w:ilvl w:val="0"/>
          <w:numId w:val="1"/>
        </w:numPr>
        <w:spacing w:after="60"/>
      </w:pPr>
      <w:r>
        <w:rPr>
          <w:rFonts w:ascii="Times New Roman" w:cs="Times New Roman" w:eastAsia="Times New Roman" w:hAnsi="Times New Roman"/>
          <w:b/>
          <w:bCs/>
          <w:color w:val="1F2937"/>
          <w:sz w:val="22"/>
          <w:szCs w:val="22"/>
        </w:rPr>
        <w:t xml:space="preserve">A — Activating event (événement activateur) : </w:t>
      </w:r>
      <w:r>
        <w:rPr>
          <w:rFonts w:ascii="Times New Roman" w:cs="Times New Roman" w:eastAsia="Times New Roman" w:hAnsi="Times New Roman"/>
          <w:color w:val="1F2937"/>
          <w:sz w:val="22"/>
          <w:szCs w:val="22"/>
        </w:rPr>
        <w:t xml:space="preserve">Pense à une situation récente qui a généré une émotion négative (irritation, anxiété, découragement). Décris-la en une ou deux phrases factuelles, sans interprétation.</w:t>
      </w:r>
    </w:p>
    <w:p>
      <w:pPr>
        <w:pStyle w:val="ListParagraph"/>
        <w:numPr>
          <w:ilvl w:val="0"/>
          <w:numId w:val="1"/>
        </w:numPr>
        <w:spacing w:after="60"/>
      </w:pPr>
      <w:r>
        <w:rPr>
          <w:rFonts w:ascii="Times New Roman" w:cs="Times New Roman" w:eastAsia="Times New Roman" w:hAnsi="Times New Roman"/>
          <w:b/>
          <w:bCs/>
          <w:color w:val="1F2937"/>
          <w:sz w:val="22"/>
          <w:szCs w:val="22"/>
        </w:rPr>
        <w:t xml:space="preserve">B — Belief (croyance) : </w:t>
      </w:r>
      <w:r>
        <w:rPr>
          <w:rFonts w:ascii="Times New Roman" w:cs="Times New Roman" w:eastAsia="Times New Roman" w:hAnsi="Times New Roman"/>
          <w:color w:val="1F2937"/>
          <w:sz w:val="22"/>
          <w:szCs w:val="22"/>
        </w:rPr>
        <w:t xml:space="preserve">Note le jugement ou la croyance qui s'est activé spontanément. Attention aux formulations en « je dois », « il faut que », « c'est inacceptable que » — ce sont les marqueurs des croyances irrationnelles selon Ellis.</w:t>
      </w:r>
    </w:p>
    <w:p>
      <w:pPr>
        <w:pStyle w:val="ListParagraph"/>
        <w:numPr>
          <w:ilvl w:val="0"/>
          <w:numId w:val="1"/>
        </w:numPr>
        <w:spacing w:after="60"/>
      </w:pPr>
      <w:r>
        <w:rPr>
          <w:rFonts w:ascii="Times New Roman" w:cs="Times New Roman" w:eastAsia="Times New Roman" w:hAnsi="Times New Roman"/>
          <w:b/>
          <w:bCs/>
          <w:color w:val="1F2937"/>
          <w:sz w:val="22"/>
          <w:szCs w:val="22"/>
        </w:rPr>
        <w:t xml:space="preserve">C — Consequence (conséquence émotionnelle et comportementale) : </w:t>
      </w:r>
      <w:r>
        <w:rPr>
          <w:rFonts w:ascii="Times New Roman" w:cs="Times New Roman" w:eastAsia="Times New Roman" w:hAnsi="Times New Roman"/>
          <w:color w:val="1F2937"/>
          <w:sz w:val="22"/>
          <w:szCs w:val="22"/>
        </w:rPr>
        <w:t xml:space="preserve">Décris l'émotion ressentie et le comportement qui a suivi ou qui a été évité.</w:t>
      </w:r>
    </w:p>
    <w:p>
      <w:pPr>
        <w:pStyle w:val="ListParagraph"/>
        <w:numPr>
          <w:ilvl w:val="0"/>
          <w:numId w:val="1"/>
        </w:numPr>
        <w:spacing w:after="60"/>
      </w:pPr>
      <w:r>
        <w:rPr>
          <w:rFonts w:ascii="Times New Roman" w:cs="Times New Roman" w:eastAsia="Times New Roman" w:hAnsi="Times New Roman"/>
          <w:b/>
          <w:bCs/>
          <w:color w:val="1F2937"/>
          <w:sz w:val="22"/>
          <w:szCs w:val="22"/>
        </w:rPr>
        <w:t xml:space="preserve">D — Dispute (questionnement) : </w:t>
      </w:r>
      <w:r>
        <w:rPr>
          <w:rFonts w:ascii="Times New Roman" w:cs="Times New Roman" w:eastAsia="Times New Roman" w:hAnsi="Times New Roman"/>
          <w:color w:val="1F2937"/>
          <w:sz w:val="22"/>
          <w:szCs w:val="22"/>
        </w:rPr>
        <w:t xml:space="preserve">Mets à l'épreuve la croyance B. Questions utiles : « Est-ce factuellement vrai ? », « Existe-t-il d'autres lectures de l'événement ? », « Cette croyance m'aide-t-elle à agir conformément à mes valeurs ? »</w:t>
      </w:r>
    </w:p>
    <w:p>
      <w:pPr>
        <w:spacing w:after="120"/>
      </w:pPr>
      <w:r>
        <w:rPr>
          <w:rFonts w:ascii="Times New Roman" w:cs="Times New Roman" w:eastAsia="Times New Roman" w:hAnsi="Times New Roman"/>
          <w:color w:val="1F2937"/>
          <w:sz w:val="22"/>
          <w:szCs w:val="22"/>
        </w:rPr>
        <w:t xml:space="preserve">Maintenant relis ta réponse avec les lunettes stoïciennes : la croyance identifiée en B porte-t-elle sur quelque chose qui est « en ton pouvoir » (prohairesis) ou sur quelque chose d'extérieur ? Cette relectureajoute une dimension que la TCC seule n'offre pas.</w:t>
      </w:r>
    </w:p>
    <w:p>
      <w:pPr>
        <w:pStyle w:val="Heading3"/>
        <w:spacing w:after="80" w:before="240"/>
      </w:pPr>
      <w:r>
        <w:rPr>
          <w:rFonts w:ascii="Times New Roman" w:cs="Times New Roman" w:eastAsia="Times New Roman" w:hAnsi="Times New Roman"/>
          <w:b/>
          <w:bCs/>
          <w:color w:val="1F2937"/>
          <w:sz w:val="26"/>
          <w:szCs w:val="26"/>
        </w:rPr>
        <w:t xml:space="preserve">Exercice 2 — Dichotomie du contrôle × restructuration cognitive</w:t>
      </w:r>
    </w:p>
    <w:p>
      <w:pPr>
        <w:spacing w:after="120"/>
      </w:pPr>
      <w:r>
        <w:rPr>
          <w:rFonts w:ascii="Times New Roman" w:cs="Times New Roman" w:eastAsia="Times New Roman" w:hAnsi="Times New Roman"/>
          <w:color w:val="1F2937"/>
          <w:sz w:val="22"/>
          <w:szCs w:val="22"/>
        </w:rPr>
        <w:t xml:space="preserve">Cet exercice croise les deux grilles de lecture.</w:t>
      </w:r>
    </w:p>
    <w:p>
      <w:pPr>
        <w:pStyle w:val="ListParagraph"/>
        <w:numPr>
          <w:ilvl w:val="0"/>
          <w:numId w:val="1"/>
        </w:numPr>
        <w:spacing w:after="60"/>
      </w:pPr>
      <w:r>
        <w:rPr>
          <w:rFonts w:ascii="Times New Roman" w:cs="Times New Roman" w:eastAsia="Times New Roman" w:hAnsi="Times New Roman"/>
          <w:color w:val="1F2937"/>
          <w:sz w:val="22"/>
          <w:szCs w:val="22"/>
        </w:rPr>
        <w:t xml:space="preserve">Liste 5 préoccupations qui t'habitent en ce moment (professionnelles, personnelles, existentielles).</w:t>
      </w:r>
    </w:p>
    <w:p>
      <w:pPr>
        <w:pStyle w:val="ListParagraph"/>
        <w:numPr>
          <w:ilvl w:val="0"/>
          <w:numId w:val="1"/>
        </w:numPr>
        <w:spacing w:after="60"/>
      </w:pPr>
      <w:r>
        <w:rPr>
          <w:rFonts w:ascii="Times New Roman" w:cs="Times New Roman" w:eastAsia="Times New Roman" w:hAnsi="Times New Roman"/>
          <w:color w:val="1F2937"/>
          <w:sz w:val="22"/>
          <w:szCs w:val="22"/>
        </w:rPr>
        <w:t xml:space="preserve">Pour chacune, réponds : « Cela dépend-il entièrement de ma volonté (prohairesis) ? » Si oui → dans mon pouvoir. Si non (entièrement ou partiellement) → hors de mon pouvoir.</w:t>
      </w:r>
    </w:p>
    <w:p>
      <w:pPr>
        <w:pStyle w:val="ListParagraph"/>
        <w:numPr>
          <w:ilvl w:val="0"/>
          <w:numId w:val="1"/>
        </w:numPr>
        <w:spacing w:after="60"/>
      </w:pPr>
      <w:r>
        <w:rPr>
          <w:rFonts w:ascii="Times New Roman" w:cs="Times New Roman" w:eastAsia="Times New Roman" w:hAnsi="Times New Roman"/>
          <w:color w:val="1F2937"/>
          <w:sz w:val="22"/>
          <w:szCs w:val="22"/>
        </w:rPr>
        <w:t xml:space="preserve">Pour les préoccupations classées « dans mon pouvoir » : identifie la croyance TCC qui génère la souffrance (p.ex. : « je dois réussir »). Reformule-la de manière plus flexible et non absolutiste.</w:t>
      </w:r>
    </w:p>
    <w:p>
      <w:pPr>
        <w:pStyle w:val="ListParagraph"/>
        <w:numPr>
          <w:ilvl w:val="0"/>
          <w:numId w:val="1"/>
        </w:numPr>
        <w:spacing w:after="60"/>
      </w:pPr>
      <w:r>
        <w:rPr>
          <w:rFonts w:ascii="Times New Roman" w:cs="Times New Roman" w:eastAsia="Times New Roman" w:hAnsi="Times New Roman"/>
          <w:color w:val="1F2937"/>
          <w:sz w:val="22"/>
          <w:szCs w:val="22"/>
        </w:rPr>
        <w:t xml:space="preserve">Pour les préoccupations « hors de mon pouvoir » : note ce que le stoïcien recommanderait — ne pas y attacher sa valeur personnelle, observer sans assentiment (sunkatathesis).</w:t>
      </w:r>
    </w:p>
    <w:p>
      <w:pPr>
        <w:spacing w:after="120"/>
      </w:pPr>
      <w:r>
        <w:rPr>
          <w:rFonts w:ascii="Times New Roman" w:cs="Times New Roman" w:eastAsia="Times New Roman" w:hAnsi="Times New Roman"/>
          <w:color w:val="1F2937"/>
          <w:sz w:val="22"/>
          <w:szCs w:val="22"/>
        </w:rPr>
        <w:t xml:space="preserve">Résultat attendu : deux colonnes — l'une avec les croyances restructurées (TCC), l'autre avec les réponses stoïciennes. Observe ce qui se rejoint et ce qui diffère.</w:t>
      </w:r>
    </w:p>
    <w:p>
      <w:pPr>
        <w:pStyle w:val="Heading3"/>
        <w:spacing w:after="80" w:before="240"/>
      </w:pPr>
      <w:r>
        <w:rPr>
          <w:rFonts w:ascii="Times New Roman" w:cs="Times New Roman" w:eastAsia="Times New Roman" w:hAnsi="Times New Roman"/>
          <w:b/>
          <w:bCs/>
          <w:color w:val="1F2937"/>
          <w:sz w:val="26"/>
          <w:szCs w:val="26"/>
        </w:rPr>
        <w:t xml:space="preserve">Exercice 3 — Journal de restructuration cognitivo-stoïcienne (5 jours)</w:t>
      </w:r>
    </w:p>
    <w:p>
      <w:pPr>
        <w:spacing w:after="120"/>
      </w:pPr>
      <w:r>
        <w:rPr>
          <w:rFonts w:ascii="Times New Roman" w:cs="Times New Roman" w:eastAsia="Times New Roman" w:hAnsi="Times New Roman"/>
          <w:color w:val="1F2937"/>
          <w:sz w:val="22"/>
          <w:szCs w:val="22"/>
        </w:rPr>
        <w:t xml:space="preserve">Tiens un journal quotidien en trois temps, le soir avant de dormir :</w:t>
      </w:r>
    </w:p>
    <w:p>
      <w:pPr>
        <w:pStyle w:val="ListParagraph"/>
        <w:numPr>
          <w:ilvl w:val="0"/>
          <w:numId w:val="1"/>
        </w:numPr>
        <w:spacing w:after="60"/>
      </w:pPr>
      <w:r>
        <w:rPr>
          <w:rFonts w:ascii="Times New Roman" w:cs="Times New Roman" w:eastAsia="Times New Roman" w:hAnsi="Times New Roman"/>
          <w:color w:val="1F2937"/>
          <w:sz w:val="22"/>
          <w:szCs w:val="22"/>
        </w:rPr>
        <w:t xml:space="preserve">1. Un événement qui a généré une émotion négative dans la journée (deux phrases factuelles).</w:t>
      </w:r>
    </w:p>
    <w:p>
      <w:pPr>
        <w:pStyle w:val="ListParagraph"/>
        <w:numPr>
          <w:ilvl w:val="0"/>
          <w:numId w:val="1"/>
        </w:numPr>
        <w:spacing w:after="60"/>
      </w:pPr>
      <w:r>
        <w:rPr>
          <w:rFonts w:ascii="Times New Roman" w:cs="Times New Roman" w:eastAsia="Times New Roman" w:hAnsi="Times New Roman"/>
          <w:color w:val="1F2937"/>
          <w:sz w:val="22"/>
          <w:szCs w:val="22"/>
        </w:rPr>
        <w:t xml:space="preserve">2. Le jugement stoïcien : « Ce n'est pas l'événement, c'est mon jugement. Quel jugement ai-je posé ? Était-il conforme à la Nature et à la raison ? »</w:t>
      </w:r>
    </w:p>
    <w:p>
      <w:pPr>
        <w:pStyle w:val="ListParagraph"/>
        <w:numPr>
          <w:ilvl w:val="0"/>
          <w:numId w:val="1"/>
        </w:numPr>
        <w:spacing w:after="60"/>
      </w:pPr>
      <w:r>
        <w:rPr>
          <w:rFonts w:ascii="Times New Roman" w:cs="Times New Roman" w:eastAsia="Times New Roman" w:hAnsi="Times New Roman"/>
          <w:color w:val="1F2937"/>
          <w:sz w:val="22"/>
          <w:szCs w:val="22"/>
        </w:rPr>
        <w:t xml:space="preserve">3. La croyance TCC sous-jacente : quel « doit », « faut », ou absolutisme se cache dans ce jugement ? Comment le reformuler de façon plus flexible ?</w:t>
      </w:r>
    </w:p>
    <w:p>
      <w:pPr>
        <w:spacing w:after="120"/>
      </w:pPr>
      <w:r>
        <w:rPr>
          <w:rFonts w:ascii="Times New Roman" w:cs="Times New Roman" w:eastAsia="Times New Roman" w:hAnsi="Times New Roman"/>
          <w:color w:val="1F2937"/>
          <w:sz w:val="22"/>
          <w:szCs w:val="22"/>
        </w:rPr>
        <w:t xml:space="preserve">À la fin des 5 jours, relis : les mêmes croyances reviennent-elles ? Quelle grille (stoïcienne ou TCC) t'a paru la plus utile pour chaque type de situation ?</w:t>
      </w:r>
    </w:p>
    <w:p>
      <w:pPr>
        <w:pStyle w:val="Heading2"/>
        <w:spacing w:after="120" w:before="360"/>
      </w:pPr>
      <w:r>
        <w:rPr>
          <w:rFonts w:ascii="Times New Roman" w:cs="Times New Roman" w:eastAsia="Times New Roman" w:hAnsi="Times New Roman"/>
          <w:b/>
          <w:bCs/>
          <w:color w:val="1B3A6B"/>
          <w:sz w:val="30"/>
          <w:szCs w:val="30"/>
        </w:rPr>
        <w:t xml:space="preserve">🎯 Challenge</w:t>
      </w:r>
    </w:p>
    <w:p>
      <w:pPr>
        <w:spacing w:after="120"/>
      </w:pPr>
      <w:r>
        <w:rPr>
          <w:rFonts w:ascii="Times New Roman" w:cs="Times New Roman" w:eastAsia="Times New Roman" w:hAnsi="Times New Roman"/>
          <w:color w:val="1F2937"/>
          <w:sz w:val="22"/>
          <w:szCs w:val="22"/>
        </w:rPr>
        <w:t xml:space="preserve">Choisis une situation anxiogène récurrente dans ta vie — un type de situation qui revient régulièrement et génère une réponse émotionnelle persistante.</w:t>
      </w:r>
    </w:p>
    <w:p>
      <w:pPr>
        <w:spacing w:after="120"/>
      </w:pPr>
      <w:r>
        <w:rPr>
          <w:rFonts w:ascii="Times New Roman" w:cs="Times New Roman" w:eastAsia="Times New Roman" w:hAnsi="Times New Roman"/>
          <w:color w:val="1F2937"/>
          <w:sz w:val="22"/>
          <w:szCs w:val="22"/>
        </w:rPr>
        <w:t xml:space="preserve">Analyse-la en deux temps :</w:t>
      </w:r>
    </w:p>
    <w:p>
      <w:pPr>
        <w:pStyle w:val="ListParagraph"/>
        <w:numPr>
          <w:ilvl w:val="0"/>
          <w:numId w:val="1"/>
        </w:numPr>
        <w:spacing w:after="60"/>
      </w:pPr>
      <w:r>
        <w:rPr>
          <w:rFonts w:ascii="Times New Roman" w:cs="Times New Roman" w:eastAsia="Times New Roman" w:hAnsi="Times New Roman"/>
          <w:color w:val="1F2937"/>
          <w:sz w:val="22"/>
          <w:szCs w:val="22"/>
        </w:rPr>
        <w:t xml:space="preserve">Filtre TCC (Ellis) : identifie l'événement activateur (A), la croyance irrationnelle (B) et sa conséquence (C). Quelles « exigences absolutistes » (musts, shoulds) portent cette croyance ? Comment les disputer ?</w:t>
      </w:r>
    </w:p>
    <w:p>
      <w:pPr>
        <w:pStyle w:val="ListParagraph"/>
        <w:numPr>
          <w:ilvl w:val="0"/>
          <w:numId w:val="1"/>
        </w:numPr>
        <w:spacing w:after="60"/>
      </w:pPr>
      <w:r>
        <w:rPr>
          <w:rFonts w:ascii="Times New Roman" w:cs="Times New Roman" w:eastAsia="Times New Roman" w:hAnsi="Times New Roman"/>
          <w:color w:val="1F2937"/>
          <w:sz w:val="22"/>
          <w:szCs w:val="22"/>
        </w:rPr>
        <w:t xml:space="preserve">Filtre stoïcien : applique la dichotomie du contrôle. Qu'est-ce qui relève du prohairesis ? Formule la premeditatio malorum pour cette situation. Quel progrès moral cette situation te propose-t-elle ?</w:t>
      </w:r>
    </w:p>
    <w:p>
      <w:pPr>
        <w:spacing w:after="120"/>
      </w:pPr>
      <w:r>
        <w:rPr>
          <w:rFonts w:ascii="Times New Roman" w:cs="Times New Roman" w:eastAsia="Times New Roman" w:hAnsi="Times New Roman"/>
          <w:color w:val="1F2937"/>
          <w:sz w:val="22"/>
          <w:szCs w:val="22"/>
        </w:rPr>
        <w:t xml:space="preserve">Rédige ensuite une page personnelle de synthèse qui répond honnêtement à la question : les deux approches sont-elles compatibles pour toi ? Qu'est-ce que l'une apporte que l'autre n'apporte pas ?</w:t>
      </w:r>
    </w:p>
    <w:p>
      <w:pPr>
        <w:spacing w:after="120"/>
      </w:pPr>
      <w:r>
        <w:rPr>
          <w:rFonts w:ascii="Times New Roman" w:cs="Times New Roman" w:eastAsia="Times New Roman" w:hAnsi="Times New Roman"/>
          <w:color w:val="1F2937"/>
          <w:sz w:val="22"/>
          <w:szCs w:val="22"/>
        </w:rPr>
        <w:t xml:space="preserve">Note dans ta synthèse au moins deux points de divergence que tu as personnellement ressentis comme importants — pas seulement théoriques.</w:t>
      </w:r>
    </w:p>
    <w:p>
      <w:pPr>
        <w:pStyle w:val="Heading2"/>
        <w:spacing w:after="120" w:before="360"/>
      </w:pPr>
      <w:r>
        <w:rPr>
          <w:rFonts w:ascii="Times New Roman" w:cs="Times New Roman" w:eastAsia="Times New Roman" w:hAnsi="Times New Roman"/>
          <w:b/>
          <w:bCs/>
          <w:color w:val="1B3A6B"/>
          <w:sz w:val="30"/>
          <w:szCs w:val="30"/>
        </w:rPr>
        <w:t xml:space="preserve">🌉 Pont pro (optionnel)</w:t>
      </w:r>
    </w:p>
    <w:p>
      <w:pPr>
        <w:spacing w:after="120"/>
      </w:pPr>
      <w:r>
        <w:rPr>
          <w:rFonts w:ascii="Times New Roman" w:cs="Times New Roman" w:eastAsia="Times New Roman" w:hAnsi="Times New Roman"/>
          <w:color w:val="1F2937"/>
          <w:sz w:val="22"/>
          <w:szCs w:val="22"/>
        </w:rPr>
        <w:t xml:space="preserve">En tant que chef de service, il est probable que tu rencontres des professionnels qui traversent des situations de stress répété, de charge émotionnelle ou de « burn-out compassionnel ». Les approches inspirées de la TCC (gestion des pensées automatiques, questionnement socratique en entretien individuel, analyse des situations difficiles en équipe) peuvent enrichir tes pratiques d'accompagnement managérial.</w:t>
      </w:r>
    </w:p>
    <w:p>
      <w:pPr>
        <w:spacing w:after="120"/>
      </w:pPr>
      <w:r>
        <w:rPr>
          <w:rFonts w:ascii="Times New Roman" w:cs="Times New Roman" w:eastAsia="Times New Roman" w:hAnsi="Times New Roman"/>
          <w:color w:val="1F2937"/>
          <w:sz w:val="22"/>
          <w:szCs w:val="22"/>
        </w:rPr>
        <w:t xml:space="preserve">Ce que cette leçon ajoute : la distinction stoïcienne entre ce qui est « dans notre pouvoir » et ce qui ne l'est pas est un cadre clair pour aider un professionnel à ne pas s'épuiser sur ce qu'il ne contrôle pas — sans pour autant l'inciter à la résignation. Ce pont relève de ta préparation personnelle de cadre, pas d'un contenu à transmettre tel quel en équipe ni d'une justification opposable dans un projet d'établissement.</w:t>
      </w:r>
    </w:p>
    <w:p>
      <w:pPr>
        <w:pStyle w:val="Heading2"/>
        <w:spacing w:after="120" w:before="360"/>
      </w:pPr>
      <w:r>
        <w:rPr>
          <w:rFonts w:ascii="Times New Roman" w:cs="Times New Roman" w:eastAsia="Times New Roman" w:hAnsi="Times New Roman"/>
          <w:b/>
          <w:bCs/>
          <w:color w:val="1B3A6B"/>
          <w:sz w:val="30"/>
          <w:szCs w:val="30"/>
        </w:rPr>
        <w:t xml:space="preserve">📚 Ressources cliquables</w:t>
      </w:r>
    </w:p>
    <w:p>
      <w:pPr>
        <w:spacing w:after="120"/>
      </w:pPr>
      <w:r>
        <w:rPr>
          <w:rFonts w:ascii="Times New Roman" w:cs="Times New Roman" w:eastAsia="Times New Roman" w:hAnsi="Times New Roman"/>
          <w:color w:val="1F2937"/>
          <w:sz w:val="22"/>
          <w:szCs w:val="22"/>
        </w:rPr>
        <w:t xml:space="preserve">Sources primaires et textes consultés pour cette leçon :</w:t>
      </w:r>
    </w:p>
    <w:p>
      <w:pPr>
        <w:spacing w:after="100"/>
      </w:pPr>
      <w:r>
        <w:rPr>
          <w:rFonts w:ascii="Times New Roman" w:cs="Times New Roman" w:eastAsia="Times New Roman" w:hAnsi="Times New Roman"/>
          <w:color w:val="1F2937"/>
          <w:sz w:val="22"/>
          <w:szCs w:val="22"/>
        </w:rPr>
        <w:t xml:space="preserve">→ </w:t>
      </w:r>
      <w:hyperlink w:history="1" r:id="rIdlcrj9s4wjvjq8x-vp9yi3">
        <w:r>
          <w:rPr>
            <w:rFonts w:ascii="Times New Roman" w:cs="Times New Roman" w:eastAsia="Times New Roman" w:hAnsi="Times New Roman"/>
            <w:color w:val="1155CC"/>
            <w:sz w:val="22"/>
            <w:szCs w:val="22"/>
            <w:u w:val="single"/>
          </w:rPr>
          <w:t xml:space="preserve">Épictète — Enchiridion (texte intégral, trad. George Long, MIT)</w:t>
        </w:r>
      </w:hyperlink>
      <w:r>
        <w:rPr>
          <w:rFonts w:ascii="Times New Roman" w:cs="Times New Roman" w:eastAsia="Times New Roman" w:hAnsi="Times New Roman"/>
          <w:color w:val="1F2937"/>
          <w:sz w:val="22"/>
          <w:szCs w:val="22"/>
        </w:rPr>
        <w:t xml:space="preserve">  — Source primaire vérifiée. §5 : la citation fondatrice de toute la filiation.</w:t>
      </w:r>
    </w:p>
    <w:p>
      <w:pPr>
        <w:spacing w:after="120"/>
      </w:pPr>
      <w:r>
        <w:rPr>
          <w:rFonts w:ascii="Times New Roman" w:cs="Times New Roman" w:eastAsia="Times New Roman" w:hAnsi="Times New Roman"/>
          <w:color w:val="1F2937"/>
          <w:sz w:val="22"/>
          <w:szCs w:val="22"/>
        </w:rPr>
        <w:t xml:space="preserve">Articles et encyclopédies consultés :</w:t>
      </w:r>
    </w:p>
    <w:p>
      <w:pPr>
        <w:spacing w:after="100"/>
      </w:pPr>
      <w:r>
        <w:rPr>
          <w:rFonts w:ascii="Times New Roman" w:cs="Times New Roman" w:eastAsia="Times New Roman" w:hAnsi="Times New Roman"/>
          <w:color w:val="1F2937"/>
          <w:sz w:val="22"/>
          <w:szCs w:val="22"/>
        </w:rPr>
        <w:t xml:space="preserve">→ </w:t>
      </w:r>
      <w:hyperlink w:history="1" r:id="rIdee3sl6thupngtuprlhbg1">
        <w:r>
          <w:rPr>
            <w:rFonts w:ascii="Times New Roman" w:cs="Times New Roman" w:eastAsia="Times New Roman" w:hAnsi="Times New Roman"/>
            <w:color w:val="1155CC"/>
            <w:sz w:val="22"/>
            <w:szCs w:val="22"/>
            <w:u w:val="single"/>
          </w:rPr>
          <w:t xml:space="preserve">Massimo Pigliucci (IEP) — Stoicism</w:t>
        </w:r>
      </w:hyperlink>
      <w:r>
        <w:rPr>
          <w:rFonts w:ascii="Times New Roman" w:cs="Times New Roman" w:eastAsia="Times New Roman" w:hAnsi="Times New Roman"/>
          <w:color w:val="1F2937"/>
          <w:sz w:val="22"/>
          <w:szCs w:val="22"/>
        </w:rPr>
        <w:t xml:space="preserve">  — Section 'Contemporary Stoicism' : Modern Stoicism, Ellis, Robertson, Frankl.</w:t>
      </w:r>
    </w:p>
    <w:p>
      <w:pPr>
        <w:spacing w:after="100"/>
      </w:pPr>
      <w:r>
        <w:rPr>
          <w:rFonts w:ascii="Times New Roman" w:cs="Times New Roman" w:eastAsia="Times New Roman" w:hAnsi="Times New Roman"/>
          <w:color w:val="1F2937"/>
          <w:sz w:val="22"/>
          <w:szCs w:val="22"/>
        </w:rPr>
        <w:t xml:space="preserve">→ </w:t>
      </w:r>
      <w:hyperlink w:history="1" r:id="rIdxki4bzjmv7i-nboxhczsn">
        <w:r>
          <w:rPr>
            <w:rFonts w:ascii="Times New Roman" w:cs="Times New Roman" w:eastAsia="Times New Roman" w:hAnsi="Times New Roman"/>
            <w:color w:val="1155CC"/>
            <w:sz w:val="22"/>
            <w:szCs w:val="22"/>
            <w:u w:val="single"/>
          </w:rPr>
          <w:t xml:space="preserve">Wikipedia — Rational emotive behavior therapy</w:t>
        </w:r>
      </w:hyperlink>
      <w:r>
        <w:rPr>
          <w:rFonts w:ascii="Times New Roman" w:cs="Times New Roman" w:eastAsia="Times New Roman" w:hAnsi="Times New Roman"/>
          <w:color w:val="1F2937"/>
          <w:sz w:val="22"/>
          <w:szCs w:val="22"/>
        </w:rPr>
        <w:t xml:space="preserve">  — Origines stoïciennes de la REBT selon Ellis lui-même.</w:t>
      </w:r>
    </w:p>
    <w:p>
      <w:pPr>
        <w:spacing w:after="100"/>
      </w:pPr>
      <w:r>
        <w:rPr>
          <w:rFonts w:ascii="Times New Roman" w:cs="Times New Roman" w:eastAsia="Times New Roman" w:hAnsi="Times New Roman"/>
          <w:color w:val="1F2937"/>
          <w:sz w:val="22"/>
          <w:szCs w:val="22"/>
        </w:rPr>
        <w:t xml:space="preserve">→ </w:t>
      </w:r>
      <w:hyperlink w:history="1" r:id="rIdbyhbnuelpqfal-oexnds6">
        <w:r>
          <w:rPr>
            <w:rFonts w:ascii="Times New Roman" w:cs="Times New Roman" w:eastAsia="Times New Roman" w:hAnsi="Times New Roman"/>
            <w:color w:val="1155CC"/>
            <w:sz w:val="22"/>
            <w:szCs w:val="22"/>
            <w:u w:val="single"/>
          </w:rPr>
          <w:t xml:space="preserve">Wikipedia — Cognitive behavioral therapy</w:t>
        </w:r>
      </w:hyperlink>
      <w:r>
        <w:rPr>
          <w:rFonts w:ascii="Times New Roman" w:cs="Times New Roman" w:eastAsia="Times New Roman" w:hAnsi="Times New Roman"/>
          <w:color w:val="1F2937"/>
          <w:sz w:val="22"/>
          <w:szCs w:val="22"/>
        </w:rPr>
        <w:t xml:space="preserve">  — Citation de Beck sur les origines stoïciennes de la TCC.</w:t>
      </w:r>
    </w:p>
    <w:p>
      <w:pPr>
        <w:spacing w:after="100"/>
      </w:pPr>
      <w:r>
        <w:rPr>
          <w:rFonts w:ascii="Times New Roman" w:cs="Times New Roman" w:eastAsia="Times New Roman" w:hAnsi="Times New Roman"/>
          <w:color w:val="1F2937"/>
          <w:sz w:val="22"/>
          <w:szCs w:val="22"/>
        </w:rPr>
        <w:t xml:space="preserve">→ </w:t>
      </w:r>
      <w:hyperlink w:history="1" r:id="rIdxfkaup6byymgtuwfnkhkr">
        <w:r>
          <w:rPr>
            <w:rFonts w:ascii="Times New Roman" w:cs="Times New Roman" w:eastAsia="Times New Roman" w:hAnsi="Times New Roman"/>
            <w:color w:val="1155CC"/>
            <w:sz w:val="22"/>
            <w:szCs w:val="22"/>
            <w:u w:val="single"/>
          </w:rPr>
          <w:t xml:space="preserve">Donald Robertson (Modern Stoicism) — Stoicism and Early 20th Century Psychotherapy</w:t>
        </w:r>
      </w:hyperlink>
      <w:r>
        <w:rPr>
          <w:rFonts w:ascii="Times New Roman" w:cs="Times New Roman" w:eastAsia="Times New Roman" w:hAnsi="Times New Roman"/>
          <w:color w:val="1F2937"/>
          <w:sz w:val="22"/>
          <w:szCs w:val="22"/>
        </w:rPr>
        <w:t xml:space="preserve">  — Robertson retrace Dubois (1904), Baudouin (1924) et la chaîne vers la REBT.</w:t>
      </w:r>
    </w:p>
    <w:p>
      <w:pPr>
        <w:spacing w:after="100"/>
      </w:pPr>
      <w:r>
        <w:rPr>
          <w:rFonts w:ascii="Times New Roman" w:cs="Times New Roman" w:eastAsia="Times New Roman" w:hAnsi="Times New Roman"/>
          <w:color w:val="1F2937"/>
          <w:sz w:val="22"/>
          <w:szCs w:val="22"/>
        </w:rPr>
        <w:t xml:space="preserve">→ </w:t>
      </w:r>
      <w:hyperlink w:history="1" r:id="rIdnadgbnqc_rti8epgv0zlq">
        <w:r>
          <w:rPr>
            <w:rFonts w:ascii="Times New Roman" w:cs="Times New Roman" w:eastAsia="Times New Roman" w:hAnsi="Times New Roman"/>
            <w:color w:val="1155CC"/>
            <w:sz w:val="22"/>
            <w:szCs w:val="22"/>
            <w:u w:val="single"/>
          </w:rPr>
          <w:t xml:space="preserve">Tim LeBon (Modern Stoicism) — The Philosophical Methods of CBT</w:t>
        </w:r>
      </w:hyperlink>
      <w:r>
        <w:rPr>
          <w:rFonts w:ascii="Times New Roman" w:cs="Times New Roman" w:eastAsia="Times New Roman" w:hAnsi="Times New Roman"/>
          <w:color w:val="1F2937"/>
          <w:sz w:val="22"/>
          <w:szCs w:val="22"/>
        </w:rPr>
        <w:t xml:space="preserve">  — LeBon établit les correspondances entre erreurs cognitives TCC et pratiques stoïciennes.</w:t>
      </w:r>
    </w:p>
    <w:p>
      <w:pPr>
        <w:spacing w:after="100"/>
      </w:pPr>
      <w:r>
        <w:rPr>
          <w:rFonts w:ascii="Times New Roman" w:cs="Times New Roman" w:eastAsia="Times New Roman" w:hAnsi="Times New Roman"/>
          <w:color w:val="1F2937"/>
          <w:sz w:val="22"/>
          <w:szCs w:val="22"/>
        </w:rPr>
        <w:t xml:space="preserve">→ </w:t>
      </w:r>
      <w:hyperlink w:history="1" r:id="rIdsbdft4s8kcnvpmtmpz978">
        <w:r>
          <w:rPr>
            <w:rFonts w:ascii="Times New Roman" w:cs="Times New Roman" w:eastAsia="Times New Roman" w:hAnsi="Times New Roman"/>
            <w:color w:val="1155CC"/>
            <w:sz w:val="22"/>
            <w:szCs w:val="22"/>
            <w:u w:val="single"/>
          </w:rPr>
          <w:t xml:space="preserve">David Alexander (The Walled Garden) — Albert Ellis: Stoicism as the Root of CBT</w:t>
        </w:r>
      </w:hyperlink>
      <w:r>
        <w:rPr>
          <w:rFonts w:ascii="Times New Roman" w:cs="Times New Roman" w:eastAsia="Times New Roman" w:hAnsi="Times New Roman"/>
          <w:color w:val="1F2937"/>
          <w:sz w:val="22"/>
          <w:szCs w:val="22"/>
        </w:rPr>
        <w:t xml:space="preserve">  — Alexander analyse Ellis et les tensions entre REBT et stoïcisme cosmique.</w:t>
      </w:r>
    </w:p>
    <w:p>
      <w:pPr>
        <w:spacing w:after="100"/>
      </w:pPr>
      <w:r>
        <w:rPr>
          <w:rFonts w:ascii="Times New Roman" w:cs="Times New Roman" w:eastAsia="Times New Roman" w:hAnsi="Times New Roman"/>
          <w:color w:val="1F2937"/>
          <w:sz w:val="22"/>
          <w:szCs w:val="22"/>
        </w:rPr>
        <w:t xml:space="preserve">→ </w:t>
      </w:r>
      <w:hyperlink w:history="1" r:id="rIdrriepgh82a-virtx83pnr">
        <w:r>
          <w:rPr>
            <w:rFonts w:ascii="Times New Roman" w:cs="Times New Roman" w:eastAsia="Times New Roman" w:hAnsi="Times New Roman"/>
            <w:color w:val="1155CC"/>
            <w:sz w:val="22"/>
            <w:szCs w:val="22"/>
            <w:u w:val="single"/>
          </w:rPr>
          <w:t xml:space="preserve">Wikipedia — Donald J. Robertson</w:t>
        </w:r>
      </w:hyperlink>
      <w:r>
        <w:rPr>
          <w:rFonts w:ascii="Times New Roman" w:cs="Times New Roman" w:eastAsia="Times New Roman" w:hAnsi="Times New Roman"/>
          <w:color w:val="1F2937"/>
          <w:sz w:val="22"/>
          <w:szCs w:val="22"/>
        </w:rPr>
        <w:t xml:space="preserve">  — Biographie du principal passeur contemporain entre stoïcisme et TCC.</w:t>
      </w:r>
    </w:p>
    <w:p>
      <w:pPr>
        <w:pStyle w:val="Heading2"/>
        <w:spacing w:after="120" w:before="360"/>
      </w:pPr>
      <w:r>
        <w:rPr>
          <w:rFonts w:ascii="Times New Roman" w:cs="Times New Roman" w:eastAsia="Times New Roman" w:hAnsi="Times New Roman"/>
          <w:b/>
          <w:bCs/>
          <w:color w:val="1B3A6B"/>
          <w:sz w:val="30"/>
          <w:szCs w:val="30"/>
        </w:rPr>
        <w:t xml:space="preserve">🔜 Prochaine leçon</w:t>
      </w:r>
    </w:p>
    <w:p>
      <w:pPr>
        <w:spacing w:after="120"/>
      </w:pPr>
      <w:r>
        <w:rPr>
          <w:rFonts w:ascii="Times New Roman" w:cs="Times New Roman" w:eastAsia="Times New Roman" w:hAnsi="Times New Roman"/>
          <w:color w:val="1F2937"/>
          <w:sz w:val="22"/>
          <w:szCs w:val="22"/>
        </w:rPr>
        <w:t xml:space="preserve">Leçon 19 — Les critiques du stoïcisme : insensibilité, quiétisme, objections contemporaines.</w:t>
      </w:r>
    </w:p>
    <w:p>
      <w:pPr>
        <w:spacing w:after="120"/>
      </w:pPr>
      <w:r>
        <w:rPr>
          <w:rFonts w:ascii="Times New Roman" w:cs="Times New Roman" w:eastAsia="Times New Roman" w:hAnsi="Times New Roman"/>
          <w:color w:val="1F2937"/>
          <w:sz w:val="22"/>
          <w:szCs w:val="22"/>
        </w:rPr>
        <w:t xml:space="preserve">Après avoir exploré ce que le stoïcisme a apporté aux thérapies modernes, il est temps d'examiner ce qu'on lui reproche : est-il une philosophie de l'insensibilité émotionnelle ? Une invitation au quiétisme et à la résignation sociale ? Un cadre inapplicable aux vulnérables ? Les objections contemporaines — féministes, marxistes, psychanalytiques — méritent d'être prises au sérieux pour affiner ou défendre une pratique stoïcienne adulte.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lcrj9s4wjvjq8x-vp9yi3" Type="http://schemas.openxmlformats.org/officeDocument/2006/relationships/hyperlink" Target="https://classics.mit.edu/Epictetus/epicench.html" TargetMode="External"/><Relationship Id="rIdee3sl6thupngtuprlhbg1" Type="http://schemas.openxmlformats.org/officeDocument/2006/relationships/hyperlink" Target="https://iep.utm.edu/stoicism/" TargetMode="External"/><Relationship Id="rIdxki4bzjmv7i-nboxhczsn" Type="http://schemas.openxmlformats.org/officeDocument/2006/relationships/hyperlink" Target="https://en.wikipedia.org/wiki/Rational_emotive_behavior_therapy" TargetMode="External"/><Relationship Id="rIdbyhbnuelpqfal-oexnds6" Type="http://schemas.openxmlformats.org/officeDocument/2006/relationships/hyperlink" Target="https://en.wikipedia.org/wiki/Cognitive_behavioral_therapy" TargetMode="External"/><Relationship Id="rIdxfkaup6byymgtuwfnkhkr" Type="http://schemas.openxmlformats.org/officeDocument/2006/relationships/hyperlink" Target="https://modernstoicism.com/features-stoicism-and-early-20th-century-psychotherapy-by-donald-robertson/" TargetMode="External"/><Relationship Id="rIdnadgbnqc_rti8epgv0zlq" Type="http://schemas.openxmlformats.org/officeDocument/2006/relationships/hyperlink" Target="https://modernstoicism.com/perspectives-the-philosophical-methods-of-cbt-by-tim-lebon/" TargetMode="External"/><Relationship Id="rIdsbdft4s8kcnvpmtmpz978" Type="http://schemas.openxmlformats.org/officeDocument/2006/relationships/hyperlink" Target="https://thewalledgarden.com/albert-ellis-stoicism-as-the-root-of-cbt/" TargetMode="External"/><Relationship Id="rIdrriepgh82a-virtx83pnr" Type="http://schemas.openxmlformats.org/officeDocument/2006/relationships/hyperlink" Target="https://en.wikipedia.org/wiki/Donald_J._Robertson" TargetMode="External"/><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Leçon Stoïcisme n°18 — Stoïcisme et thérapies cognitives</dc:title>
  <dc:creator>Claude Code</dc:creator>
  <dc:description>Parcours stoïcisme — leçon 18/20</dc:description>
  <cp:lastModifiedBy>Un-named</cp:lastModifiedBy>
  <cp:revision>1</cp:revision>
  <dcterms:created xsi:type="dcterms:W3CDTF">2026-10-08T06:14:22.170Z</dcterms:created>
  <dcterms:modified xsi:type="dcterms:W3CDTF">2026-10-08T06:14:22.172Z</dcterms:modified>
</cp:coreProperties>
</file>

<file path=docProps/custom.xml><?xml version="1.0" encoding="utf-8"?>
<Properties xmlns="http://schemas.openxmlformats.org/officeDocument/2006/custom-properties" xmlns:vt="http://schemas.openxmlformats.org/officeDocument/2006/docPropsVTypes"/>
</file>