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B3A6B"/>
          <w:sz w:val="52"/>
          <w:szCs w:val="52"/>
        </w:rPr>
        <w:t xml:space="preserve">Leçon Psychopathologie clinique n°01 — Introduction &amp; grands modèles</w:t>
      </w:r>
    </w:p>
    <w:p>
      <w:pPr>
        <w:spacing w:after="200"/>
        <w:jc w:val="center"/>
      </w:pPr>
      <w:r>
        <w:rPr>
          <w:rFonts w:ascii="Times New Roman" w:cs="Times New Roman" w:eastAsia="Times New Roman" w:hAnsi="Times New Roman"/>
          <w:color w:val="555555"/>
          <w:sz w:val="24"/>
          <w:szCs w:val="24"/>
        </w:rPr>
        <w:t xml:space="preserve">2026-06-13 • Module Fondamental — leçon 01</w:t>
      </w:r>
    </w:p>
    <w:p>
      <w:pPr>
        <w:spacing w:after="80" w:before="240"/>
      </w:pPr>
      <w:r>
        <w:rPr>
          <w:rFonts w:ascii="Times New Roman" w:cs="Times New Roman" w:eastAsia="Times New Roman" w:hAnsi="Times New Roman"/>
          <w:b/>
          <w:bCs/>
          <w:color w:val="1B3A6B"/>
          <w:sz w:val="30"/>
          <w:szCs w:val="30"/>
        </w:rPr>
        <w:t xml:space="preserve">🎯 Objectif &amp; continuité</w:t>
      </w:r>
    </w:p>
    <w:p>
      <w:pPr>
        <w:spacing w:after="40" w:before="40"/>
      </w:pPr>
      <w:r>
        <w:rPr>
          <w:rFonts w:ascii="Times New Roman" w:cs="Times New Roman" w:eastAsia="Times New Roman" w:hAnsi="Times New Roman"/>
          <w:color w:val="1F2937"/>
          <w:sz w:val="22"/>
          <w:szCs w:val="22"/>
        </w:rPr>
        <w:t xml:space="preserve">Cette leçon ouvre le parcours. À la fin, tu sauras définir la psychopathologie clinique, situer ses repères historiques, et distinguer les grands modèles explicatifs qui coexistent dans le champ — ce qui te donnera une « grille de lecture » multi-perspectives pour la suite du cours.</w:t>
      </w:r>
    </w:p>
    <w:p>
      <w:pPr>
        <w:spacing w:after="40" w:before="40"/>
      </w:pPr>
      <w:r>
        <w:rPr>
          <w:rFonts w:ascii="Times New Roman" w:cs="Times New Roman" w:eastAsia="Times New Roman" w:hAnsi="Times New Roman"/>
          <w:color w:val="1F2937"/>
          <w:sz w:val="22"/>
          <w:szCs w:val="22"/>
        </w:rPr>
        <w:t xml:space="preserve">⚖️ Cadre : on apprend ici à COMPRENDRE et OBSERVER pour mieux accompagner et orienter — jamais à poser un diagnostic, acte réservé au médecin psychiatre et au psychologue clinicien.</w:t>
      </w:r>
    </w:p>
    <w:p>
      <w:pPr>
        <w:spacing w:after="80" w:before="240"/>
      </w:pPr>
      <w:r>
        <w:rPr>
          <w:rFonts w:ascii="Times New Roman" w:cs="Times New Roman" w:eastAsia="Times New Roman" w:hAnsi="Times New Roman"/>
          <w:b/>
          <w:bCs/>
          <w:color w:val="1B3A6B"/>
          <w:sz w:val="30"/>
          <w:szCs w:val="30"/>
        </w:rPr>
        <w:t xml:space="preserve">🔬 Théorie (20%)</w:t>
      </w:r>
    </w:p>
    <w:p>
      <w:pPr>
        <w:spacing w:after="60" w:before="140"/>
      </w:pPr>
      <w:r>
        <w:rPr>
          <w:rFonts w:ascii="Times New Roman" w:cs="Times New Roman" w:eastAsia="Times New Roman" w:hAnsi="Times New Roman"/>
          <w:b/>
          <w:bCs/>
          <w:color w:val="1F2937"/>
          <w:sz w:val="26"/>
          <w:szCs w:val="26"/>
        </w:rPr>
        <w:t xml:space="preserve">1. Qu'est-ce que la psychopathologie clinique ?</w:t>
      </w:r>
    </w:p>
    <w:p>
      <w:pPr>
        <w:spacing w:after="40" w:before="40"/>
      </w:pPr>
      <w:r>
        <w:rPr>
          <w:rFonts w:ascii="Times New Roman" w:cs="Times New Roman" w:eastAsia="Times New Roman" w:hAnsi="Times New Roman"/>
          <w:color w:val="1F2937"/>
          <w:sz w:val="22"/>
          <w:szCs w:val="22"/>
        </w:rPr>
        <w:t xml:space="preserve">La psychopathologie est l'étude des troubles psychiques : leurs signes, symptômes, mécanismes et sens. « Clinique » signifie « au chevet » : une connaissance ancrée dans la rencontre singulière avec la personne, et non seulement dans la statistique.</w:t>
      </w:r>
    </w:p>
    <w:p>
      <w:pPr>
        <w:spacing w:after="40" w:before="40"/>
      </w:pPr>
      <w:r>
        <w:rPr>
          <w:rFonts w:ascii="Times New Roman" w:cs="Times New Roman" w:eastAsia="Times New Roman" w:hAnsi="Times New Roman"/>
          <w:color w:val="1F2937"/>
          <w:sz w:val="22"/>
          <w:szCs w:val="22"/>
        </w:rPr>
        <w:t xml:space="preserve">Repère historique : après des explications longtemps surnaturelles, Hippocrate propose des causes naturelles ; en 1913, Karl Jaspers fonde la psychopathologie comme discipline scientifique (Psychopathologie générale), en cherchant à décrire et comprendre l'expérience vécue du patient.</w:t>
      </w:r>
    </w:p>
    <w:p>
      <w:pPr>
        <w:spacing w:after="100" w:before="100"/>
        <w:ind w:left="360"/>
      </w:pPr>
      <w:r>
        <w:rPr>
          <w:rFonts w:ascii="Times New Roman" w:cs="Times New Roman" w:eastAsia="Times New Roman" w:hAnsi="Times New Roman"/>
          <w:color w:val="1B3A6B"/>
          <w:sz w:val="22"/>
          <w:szCs w:val="22"/>
        </w:rPr>
        <w:t xml:space="preserve">Comprendre — saisir le sens vécu — et expliquer — établir des causes — sont deux gestes complémentaires, distinction que Jaspers place au cœur de sa Psychopathologie générale (1913). ⚠️ Reformulé le 06/09/2026 : le passage était présenté en bloc de citation, avec attribution nominale à Karl Jaspers. La distinction lui revient effectivement, mais aucune des quatre sources de cette leçon ne l’atteste, et la formulation n’a donc pas pu être vérifiée. Elle est donnée en discours indirect, ce qu’elle est.</w:t>
      </w:r>
    </w:p>
    <w:p>
      <w:pPr>
        <w:spacing w:after="60" w:before="140"/>
      </w:pPr>
      <w:r>
        <w:rPr>
          <w:rFonts w:ascii="Times New Roman" w:cs="Times New Roman" w:eastAsia="Times New Roman" w:hAnsi="Times New Roman"/>
          <w:b/>
          <w:bCs/>
          <w:color w:val="1F2937"/>
          <w:sz w:val="26"/>
          <w:szCs w:val="26"/>
        </w:rPr>
        <w:t xml:space="preserve">2. Les grands modèles explicatifs (ils coexistent)</w:t>
      </w:r>
    </w:p>
    <w:p>
      <w:pPr>
        <w:pStyle w:val="ListParagraph"/>
        <w:numPr>
          <w:ilvl w:val="0"/>
          <w:numId w:val="1"/>
        </w:numPr>
        <w:spacing w:after="20" w:before="20"/>
      </w:pPr>
      <w:r>
        <w:rPr>
          <w:rFonts w:ascii="Times New Roman" w:cs="Times New Roman" w:eastAsia="Times New Roman" w:hAnsi="Times New Roman"/>
          <w:color w:val="1F2937"/>
          <w:sz w:val="22"/>
          <w:szCs w:val="22"/>
        </w:rPr>
        <w:t xml:space="preserve">Biomédical : le trouble comme dysfonctionnement cérébral/neurochimique ; appui sur le diagnostic et le traitement.</w:t>
      </w:r>
    </w:p>
    <w:p>
      <w:pPr>
        <w:pStyle w:val="ListParagraph"/>
        <w:numPr>
          <w:ilvl w:val="0"/>
          <w:numId w:val="1"/>
        </w:numPr>
        <w:spacing w:after="20" w:before="20"/>
      </w:pPr>
      <w:r>
        <w:rPr>
          <w:rFonts w:ascii="Times New Roman" w:cs="Times New Roman" w:eastAsia="Times New Roman" w:hAnsi="Times New Roman"/>
          <w:color w:val="1F2937"/>
          <w:sz w:val="22"/>
          <w:szCs w:val="22"/>
        </w:rPr>
        <w:t xml:space="preserve">Psychanalytique / psychodynamique : poids de l'histoire infantile, des conflits intra-psychiques et des processus inconscients ; le symptôme a un sens.</w:t>
      </w:r>
    </w:p>
    <w:p>
      <w:pPr>
        <w:pStyle w:val="ListParagraph"/>
        <w:numPr>
          <w:ilvl w:val="0"/>
          <w:numId w:val="1"/>
        </w:numPr>
        <w:spacing w:after="20" w:before="20"/>
      </w:pPr>
      <w:r>
        <w:rPr>
          <w:rFonts w:ascii="Times New Roman" w:cs="Times New Roman" w:eastAsia="Times New Roman" w:hAnsi="Times New Roman"/>
          <w:color w:val="1F2937"/>
          <w:sz w:val="22"/>
          <w:szCs w:val="22"/>
        </w:rPr>
        <w:t xml:space="preserve">Cognitivo-comportemental (TCC) : relie les manifestations aux apprentissages, croyances et schémas de pensée ; cible le présent et le mesurable.</w:t>
      </w:r>
    </w:p>
    <w:p>
      <w:pPr>
        <w:pStyle w:val="ListParagraph"/>
        <w:numPr>
          <w:ilvl w:val="0"/>
          <w:numId w:val="1"/>
        </w:numPr>
        <w:spacing w:after="20" w:before="20"/>
      </w:pPr>
      <w:r>
        <w:rPr>
          <w:rFonts w:ascii="Times New Roman" w:cs="Times New Roman" w:eastAsia="Times New Roman" w:hAnsi="Times New Roman"/>
          <w:color w:val="1F2937"/>
          <w:sz w:val="22"/>
          <w:szCs w:val="22"/>
        </w:rPr>
        <w:t xml:space="preserve">Phénoménologique : décrit de l'intérieur l'expérience subjective (la manière d'être au monde), dans la lignée de Jaspers.</w:t>
      </w:r>
    </w:p>
    <w:p>
      <w:pPr>
        <w:pStyle w:val="ListParagraph"/>
        <w:numPr>
          <w:ilvl w:val="0"/>
          <w:numId w:val="1"/>
        </w:numPr>
        <w:spacing w:after="20" w:before="20"/>
      </w:pPr>
      <w:r>
        <w:rPr>
          <w:rFonts w:ascii="Times New Roman" w:cs="Times New Roman" w:eastAsia="Times New Roman" w:hAnsi="Times New Roman"/>
          <w:color w:val="1F2937"/>
          <w:sz w:val="22"/>
          <w:szCs w:val="22"/>
        </w:rPr>
        <w:t xml:space="preserve">Systémique : lit le trouble dans les interactions (famille, institution, environnement), pas seulement dans l'individu.</w:t>
      </w:r>
    </w:p>
    <w:p>
      <w:pPr>
        <w:pStyle w:val="ListParagraph"/>
        <w:numPr>
          <w:ilvl w:val="0"/>
          <w:numId w:val="1"/>
        </w:numPr>
        <w:spacing w:after="20" w:before="20"/>
      </w:pPr>
      <w:r>
        <w:rPr>
          <w:rFonts w:ascii="Times New Roman" w:cs="Times New Roman" w:eastAsia="Times New Roman" w:hAnsi="Times New Roman"/>
          <w:color w:val="1F2937"/>
          <w:sz w:val="22"/>
          <w:szCs w:val="22"/>
        </w:rPr>
        <w:t xml:space="preserve">Intégratif / bio-psycho-social : articule ces niveaux — c'est l'approche dominante aujourd'hui, qui reconnaît l'intérêt des classifications tout en les complétant par le sens et le contexte.</w:t>
      </w:r>
    </w:p>
    <w:p>
      <w:pPr>
        <w:spacing w:after="60" w:before="140"/>
      </w:pPr>
      <w:r>
        <w:rPr>
          <w:rFonts w:ascii="Times New Roman" w:cs="Times New Roman" w:eastAsia="Times New Roman" w:hAnsi="Times New Roman"/>
          <w:b/>
          <w:bCs/>
          <w:color w:val="1F2937"/>
          <w:sz w:val="26"/>
          <w:szCs w:val="26"/>
        </w:rPr>
        <w:t xml:space="preserve">3. Distinguer le normal du pathologique : les « 4 D »</w:t>
      </w:r>
    </w:p>
    <w:p>
      <w:pPr>
        <w:spacing w:after="40" w:before="40"/>
      </w:pPr>
      <w:r>
        <w:rPr>
          <w:rFonts w:ascii="Times New Roman" w:cs="Times New Roman" w:eastAsia="Times New Roman" w:hAnsi="Times New Roman"/>
          <w:color w:val="1F2937"/>
          <w:sz w:val="22"/>
          <w:szCs w:val="22"/>
        </w:rPr>
        <w:t xml:space="preserve">Repère clinique pratique pour ne pas pathologiser la souffrance ordinaire : Déviance (écart à la norme), Détresse (souffrance ressentie), Dysfonctionnement (retentissement sur la vie quotidienne), Durée (persistance dans le temps). Aucun critère ne suffit seul.</w:t>
      </w:r>
    </w:p>
    <w:p>
      <w:pPr>
        <w:spacing w:after="40" w:before="40"/>
      </w:pPr>
      <w:r>
        <w:rPr>
          <w:rFonts w:ascii="Times New Roman" w:cs="Times New Roman" w:eastAsia="Times New Roman" w:hAnsi="Times New Roman"/>
          <w:color w:val="1F2937"/>
          <w:sz w:val="22"/>
          <w:szCs w:val="22"/>
        </w:rPr>
        <w:t xml:space="preserve">À retenir aussi : définir un « trouble mental » reste philosophiquement débattu (naturalisme vs normativisme, part des valeurs, frontière avec les réactions normales aux difficultés de la vie). Humilité de rigueur.</w:t>
      </w:r>
    </w:p>
    <w:p>
      <w:pPr>
        <w:spacing w:after="80" w:before="240"/>
      </w:pPr>
      <w:r>
        <w:rPr>
          <w:rFonts w:ascii="Times New Roman" w:cs="Times New Roman" w:eastAsia="Times New Roman" w:hAnsi="Times New Roman"/>
          <w:b/>
          <w:bCs/>
          <w:color w:val="1B3A6B"/>
          <w:sz w:val="30"/>
          <w:szCs w:val="30"/>
        </w:rPr>
        <w:t xml:space="preserve">🛠️ Pratique (80%)</w:t>
      </w:r>
    </w:p>
    <w:p>
      <w:pPr>
        <w:spacing w:after="60" w:before="140"/>
      </w:pPr>
      <w:r>
        <w:rPr>
          <w:rFonts w:ascii="Times New Roman" w:cs="Times New Roman" w:eastAsia="Times New Roman" w:hAnsi="Times New Roman"/>
          <w:b/>
          <w:bCs/>
          <w:color w:val="1F2937"/>
          <w:sz w:val="26"/>
          <w:szCs w:val="26"/>
        </w:rPr>
        <w:t xml:space="preserve">Exercice 1 — Une situation, six regards (compréhension active)</w:t>
      </w:r>
    </w:p>
    <w:p>
      <w:pPr>
        <w:spacing w:after="40" w:before="40"/>
      </w:pPr>
      <w:r>
        <w:rPr>
          <w:rFonts w:ascii="Times New Roman" w:cs="Times New Roman" w:eastAsia="Times New Roman" w:hAnsi="Times New Roman"/>
          <w:color w:val="1F2937"/>
          <w:sz w:val="22"/>
          <w:szCs w:val="22"/>
        </w:rPr>
        <w:t xml:space="preserve">Prends un comportement observable (ex. un repli social marqué chez une personne accompagnée). Écris en 1-2 phrases comment CHAQUE modèle l'expliquerait (biomédical, psychanalytique, TCC, phénoménologique, systémique, intégratif). Objectif : sentir qu'un même fait a plusieurs lectures complémentaires.</w:t>
      </w:r>
    </w:p>
    <w:p>
      <w:pPr>
        <w:spacing w:after="60" w:before="140"/>
      </w:pPr>
      <w:r>
        <w:rPr>
          <w:rFonts w:ascii="Times New Roman" w:cs="Times New Roman" w:eastAsia="Times New Roman" w:hAnsi="Times New Roman"/>
          <w:b/>
          <w:bCs/>
          <w:color w:val="1F2937"/>
          <w:sz w:val="26"/>
          <w:szCs w:val="26"/>
        </w:rPr>
        <w:t xml:space="preserve">Exercice 2 — Tester les « 4 D » (application)</w:t>
      </w:r>
    </w:p>
    <w:p>
      <w:pPr>
        <w:spacing w:after="40" w:before="40"/>
      </w:pPr>
      <w:r>
        <w:rPr>
          <w:rFonts w:ascii="Times New Roman" w:cs="Times New Roman" w:eastAsia="Times New Roman" w:hAnsi="Times New Roman"/>
          <w:color w:val="1F2937"/>
          <w:sz w:val="22"/>
          <w:szCs w:val="22"/>
        </w:rPr>
        <w:t xml:space="preserve">Choisis deux situations (une qui te semble relever du trouble, une de la réaction normale). Pour chacune, évalue Déviance / Détresse / Dysfonctionnement / Durée. Que t'apprend la comparaison sur la frontière normal/pathologique ?</w:t>
      </w:r>
    </w:p>
    <w:p>
      <w:pPr>
        <w:spacing w:after="60" w:before="140"/>
      </w:pPr>
      <w:r>
        <w:rPr>
          <w:rFonts w:ascii="Times New Roman" w:cs="Times New Roman" w:eastAsia="Times New Roman" w:hAnsi="Times New Roman"/>
          <w:b/>
          <w:bCs/>
          <w:color w:val="1F2937"/>
          <w:sz w:val="26"/>
          <w:szCs w:val="26"/>
        </w:rPr>
        <w:t xml:space="preserve">Exercice 3 — Auto-positionnement &amp; angle mort (réflexivité)</w:t>
      </w:r>
    </w:p>
    <w:p>
      <w:pPr>
        <w:spacing w:after="40" w:before="40"/>
      </w:pPr>
      <w:r>
        <w:rPr>
          <w:rFonts w:ascii="Times New Roman" w:cs="Times New Roman" w:eastAsia="Times New Roman" w:hAnsi="Times New Roman"/>
          <w:color w:val="1F2937"/>
          <w:sz w:val="22"/>
          <w:szCs w:val="22"/>
        </w:rPr>
        <w:t xml:space="preserve">Quel modèle te parle le plus spontanément ? Écris pourquoi — puis identifie l'ANGLE MORT que ce modèle, seul, risque de créer dans ton regard professionnel.</w:t>
      </w:r>
    </w:p>
    <w:p>
      <w:pPr>
        <w:spacing w:after="80" w:before="240"/>
      </w:pPr>
      <w:r>
        <w:rPr>
          <w:rFonts w:ascii="Times New Roman" w:cs="Times New Roman" w:eastAsia="Times New Roman" w:hAnsi="Times New Roman"/>
          <w:b/>
          <w:bCs/>
          <w:color w:val="1B3A6B"/>
          <w:sz w:val="30"/>
          <w:szCs w:val="30"/>
        </w:rPr>
        <w:t xml:space="preserve">🎯 Challenge</w:t>
      </w:r>
    </w:p>
    <w:p>
      <w:pPr>
        <w:spacing w:after="40" w:before="40"/>
      </w:pPr>
      <w:r>
        <w:rPr>
          <w:rFonts w:ascii="Times New Roman" w:cs="Times New Roman" w:eastAsia="Times New Roman" w:hAnsi="Times New Roman"/>
          <w:color w:val="1F2937"/>
          <w:sz w:val="22"/>
          <w:szCs w:val="22"/>
        </w:rPr>
        <w:t xml:space="preserve">Rédige sur une page une « grille de lecture multi-modèles » réutilisable : pour chaque modèle, 1 question-clé à te poser face à une situation. Tu la réemploieras tout au long du parcours.</w:t>
      </w:r>
    </w:p>
    <w:p>
      <w:pPr>
        <w:spacing w:after="80" w:before="240"/>
      </w:pPr>
      <w:r>
        <w:rPr>
          <w:rFonts w:ascii="Times New Roman" w:cs="Times New Roman" w:eastAsia="Times New Roman" w:hAnsi="Times New Roman"/>
          <w:b/>
          <w:bCs/>
          <w:color w:val="1B3A6B"/>
          <w:sz w:val="30"/>
          <w:szCs w:val="30"/>
        </w:rPr>
        <w:t xml:space="preserve">🌉 Pont pro (chef de service — foyer, handicap mental et psychique)</w:t>
      </w:r>
    </w:p>
    <w:p>
      <w:pPr>
        <w:spacing w:after="40" w:before="40"/>
      </w:pPr>
      <w:r>
        <w:rPr>
          <w:rFonts w:ascii="Times New Roman" w:cs="Times New Roman" w:eastAsia="Times New Roman" w:hAnsi="Times New Roman"/>
          <w:color w:val="1F2937"/>
          <w:sz w:val="22"/>
          <w:szCs w:val="22"/>
        </w:rPr>
        <w:t xml:space="preserve">Comprendre qu'un comportement a plusieurs lectures évite la stigmatisation et enrichit le projet personnalisé : un même « trouble du comportement » peut relever d'une douleur somatique, d'un vécu, d'un apprentissage, d'un contexte institutionnel. Ton rôle : OBSERVER et DÉCRIRE finement (pas diagnostiquer), pour mieux dialoguer avec les soignants et orienter. C’est aussi ce sur quoi reposent les approches non médicamenteuses. ⚠️ Reformulé le 06/09/2026 : la phrase invoquait « (RBPP HAS) » sans nommer ni dater aucune recommandation. La règle qui l’interdit a été ajoutée au parcours le 27/08/2026, donc APRÈS cette leçon : le défaut est réel, il n’enfreignait aucune consigne existante. Si tu veux appuyer ce point, retrouve la recommandation par son titre exact et sa date sur has-sante.fr.</w:t>
      </w:r>
    </w:p>
    <w:p>
      <w:pPr>
        <w:spacing w:after="80" w:before="240"/>
      </w:pPr>
      <w:r>
        <w:rPr>
          <w:rFonts w:ascii="Times New Roman" w:cs="Times New Roman" w:eastAsia="Times New Roman" w:hAnsi="Times New Roman"/>
          <w:b/>
          <w:bCs/>
          <w:color w:val="1B3A6B"/>
          <w:sz w:val="30"/>
          <w:szCs w:val="30"/>
        </w:rPr>
        <w:t xml:space="preserve">📚 Ressources cliquables</w:t>
      </w:r>
    </w:p>
    <w:p>
      <w:pPr>
        <w:pStyle w:val="ListParagraph"/>
        <w:numPr>
          <w:ilvl w:val="0"/>
          <w:numId w:val="1"/>
        </w:numPr>
        <w:spacing w:after="30" w:before="30"/>
      </w:pPr>
      <w:hyperlink w:history="1" r:id="rIdvjq_xtlbxr0tyo1xdvqr_">
        <w:r>
          <w:rPr>
            <w:rFonts w:ascii="Times New Roman" w:cs="Times New Roman" w:eastAsia="Times New Roman" w:hAnsi="Times New Roman"/>
            <w:color w:val="1155CC"/>
            <w:sz w:val="22"/>
            <w:szCs w:val="22"/>
            <w:u w:val="single"/>
          </w:rPr>
          <w:t xml:space="preserve">Wikipedia — Psychopathology (définition, histoire, modèles)</w:t>
        </w:r>
      </w:hyperlink>
    </w:p>
    <w:p>
      <w:pPr>
        <w:pStyle w:val="ListParagraph"/>
        <w:numPr>
          <w:ilvl w:val="0"/>
          <w:numId w:val="1"/>
        </w:numPr>
        <w:spacing w:after="30" w:before="30"/>
      </w:pPr>
      <w:hyperlink w:history="1" r:id="rId1uceexxhiqixkx5n_2mgh">
        <w:r>
          <w:rPr>
            <w:rFonts w:ascii="Times New Roman" w:cs="Times New Roman" w:eastAsia="Times New Roman" w:hAnsi="Times New Roman"/>
            <w:color w:val="1155CC"/>
            <w:sz w:val="22"/>
            <w:szCs w:val="22"/>
            <w:u w:val="single"/>
          </w:rPr>
          <w:t xml:space="preserve">Stanford Encyclopedia of Philosophy — Mental Disorder (qu'est-ce qu'un trouble ?)</w:t>
        </w:r>
      </w:hyperlink>
    </w:p>
    <w:p>
      <w:pPr>
        <w:pStyle w:val="ListParagraph"/>
        <w:numPr>
          <w:ilvl w:val="0"/>
          <w:numId w:val="1"/>
        </w:numPr>
        <w:spacing w:after="30" w:before="30"/>
      </w:pPr>
      <w:hyperlink w:history="1" r:id="rIdegzts04q9ub2kdsnypqbs">
        <w:r>
          <w:rPr>
            <w:rFonts w:ascii="Times New Roman" w:cs="Times New Roman" w:eastAsia="Times New Roman" w:hAnsi="Times New Roman"/>
            <w:color w:val="1155CC"/>
            <w:sz w:val="22"/>
            <w:szCs w:val="22"/>
            <w:u w:val="single"/>
          </w:rPr>
          <w:t xml:space="preserve">Cairn — Psychologie clinique et psychopathologie ⚠️ PAGE EN 403, JAMAIS OUVERTE</w:t>
        </w:r>
      </w:hyperlink>
    </w:p>
    <w:p>
      <w:pPr>
        <w:pStyle w:val="ListParagraph"/>
        <w:numPr>
          <w:ilvl w:val="0"/>
          <w:numId w:val="1"/>
        </w:numPr>
        <w:spacing w:after="30" w:before="30"/>
      </w:pPr>
      <w:hyperlink w:history="1" r:id="rIdaq-kcfcvx10sgkuoiaqju">
        <w:r>
          <w:rPr>
            <w:rFonts w:ascii="Times New Roman" w:cs="Times New Roman" w:eastAsia="Times New Roman" w:hAnsi="Times New Roman"/>
            <w:color w:val="1155CC"/>
            <w:sz w:val="22"/>
            <w:szCs w:val="22"/>
            <w:u w:val="single"/>
          </w:rPr>
          <w:t xml:space="preserve">Psycom — page d’accueil ⚠️ le lien pointe la RACINE du site, non une page sur les modèles</w:t>
        </w:r>
      </w:hyperlink>
    </w:p>
    <w:p>
      <w:pPr>
        <w:spacing w:after="80" w:before="240"/>
      </w:pPr>
      <w:r>
        <w:rPr>
          <w:rFonts w:ascii="Times New Roman" w:cs="Times New Roman" w:eastAsia="Times New Roman" w:hAnsi="Times New Roman"/>
          <w:b/>
          <w:bCs/>
          <w:color w:val="1B3A6B"/>
          <w:sz w:val="30"/>
          <w:szCs w:val="30"/>
        </w:rPr>
        <w:t xml:space="preserve">🔜 Prochaine leçon</w:t>
      </w:r>
    </w:p>
    <w:p>
      <w:pPr>
        <w:spacing w:after="40" w:before="40"/>
      </w:pPr>
      <w:r>
        <w:rPr>
          <w:rFonts w:ascii="Times New Roman" w:cs="Times New Roman" w:eastAsia="Times New Roman" w:hAnsi="Times New Roman"/>
          <w:color w:val="1F2937"/>
          <w:sz w:val="22"/>
          <w:szCs w:val="22"/>
        </w:rPr>
        <w:t xml:space="preserve">n°02 — Normal et pathologique : critères, continuum, et les classifications CIM-11 (OMS) et DSM-5-TR.</w:t>
      </w:r>
    </w:p>
    <w:p>
      <w:pPr>
        <w:spacing w:before="200"/>
        <w:jc w:val="center"/>
      </w:pPr>
      <w:r>
        <w:rPr>
          <w:rFonts w:ascii="Times New Roman" w:cs="Times New Roman" w:eastAsia="Times New Roman" w:hAnsi="Times New Roman"/>
          <w:color w:val="999999"/>
          <w:sz w:val="16"/>
          <w:szCs w:val="16"/>
        </w:rPr>
        <w:t xml:space="preserve">Leçon générée le 13/06/2026 • Parcours d'apprentissage progressif • n°01 / intro-modeles-psychopatho</w:t>
      </w:r>
    </w:p>
    <w:p>
      <w:pPr>
        <w:pBdr>
          <w:bottom w:val="single" w:color="1B3A6B" w:sz="6"/>
        </w:pBdr>
        <w:spacing w:after="120" w:before="360"/>
      </w:pPr>
      <w:r>
        <w:rPr>
          <w:rFonts w:ascii="Times New Roman" w:cs="Times New Roman" w:eastAsia="Times New Roman" w:hAnsi="Times New Roman"/>
          <w:b/>
          <w:bCs/>
          <w:color w:val="1B3A6B"/>
          <w:sz w:val="30"/>
          <w:szCs w:val="30"/>
        </w:rPr>
        <w:t xml:space="preserve">📝 Journal des corrections — 6 septembre 2026</w:t>
      </w:r>
    </w:p>
    <w:p>
      <w:pPr>
        <w:spacing w:after="80"/>
      </w:pPr>
      <w:r>
        <w:rPr>
          <w:rFonts w:ascii="Times New Roman" w:cs="Times New Roman" w:eastAsia="Times New Roman" w:hAnsi="Times New Roman"/>
          <w:b/>
          <w:bCs/>
          <w:i/>
          <w:iCs/>
          <w:color w:val="1F2937"/>
          <w:sz w:val="22"/>
          <w:szCs w:val="22"/>
        </w:rPr>
        <w:t xml:space="preserve">Leçon produite le 13/06/2026, relue le 06/09/2026. C’est la première leçon du parcours et la plus courte : 4 840 caractères. Trois corrections, et deux constats de format.</w:t>
      </w:r>
    </w:p>
    <w:p>
      <w:pPr>
        <w:spacing w:after="80"/>
      </w:pPr>
      <w:r>
        <w:rPr>
          <w:rFonts w:ascii="Times New Roman" w:cs="Times New Roman" w:eastAsia="Times New Roman" w:hAnsi="Times New Roman"/>
          <w:color w:val="1F2937"/>
          <w:sz w:val="22"/>
          <w:szCs w:val="22"/>
        </w:rPr>
        <w:t xml:space="preserve">① Une citation attribuée à Jaspers sans source qui l’atteste. Le passage figurait en bloc de citation : « “Comprendre” (saisir le sens vécu) et “expliquer” (établir des causes) : deux gestes complémentaires — Karl Jaspers. » La distinction revient bien à Jaspers et elle est au cœur de la Psychopathologie générale de 1913 : le fond est juste. Mais aucune des quatre sources de la leçon ne l’atteste, et la formulation elle-même n’a pas pu être vérifiée. Elle est désormais donnée en discours indirect, avec sa référence d’ouvrage.</w:t>
      </w:r>
    </w:p>
    <w:p>
      <w:pPr>
        <w:spacing w:after="80"/>
      </w:pPr>
      <w:r>
        <w:rPr>
          <w:rFonts w:ascii="Times New Roman" w:cs="Times New Roman" w:eastAsia="Times New Roman" w:hAnsi="Times New Roman"/>
          <w:color w:val="1F2937"/>
          <w:sz w:val="22"/>
          <w:szCs w:val="22"/>
        </w:rPr>
        <w:t xml:space="preserve">② Le pont professionnel invoquait « (RBPP HAS) » sans nommer ni dater. Reformulé sans autorité invoquée. La règle correspondante date du 27/08/2026, postérieure à cette leçon.</w:t>
      </w:r>
    </w:p>
    <w:p>
      <w:pPr>
        <w:spacing w:after="80"/>
      </w:pPr>
      <w:r>
        <w:rPr>
          <w:rFonts w:ascii="Times New Roman" w:cs="Times New Roman" w:eastAsia="Times New Roman" w:hAnsi="Times New Roman"/>
          <w:color w:val="1F2937"/>
          <w:sz w:val="22"/>
          <w:szCs w:val="22"/>
        </w:rPr>
        <w:t xml:space="preserve">③ Deux des quatre ressources ne mènent pas à ce qu’elles annoncent. L’article de Cairn répond 403 et n’a jamais pu être ouvert — ni le 13/06/2026 ni lors de la relecture. Et le lien « Psycom — Information fiable sur la santé mentale » pointe la racine du site, non une page traitant des modèles en psychopathologie. Les deux autres sources, en revanche, délivrent bien leur contenu : la page Wikipédia « Psychopathology » et surtout l’entrée « Mental Disorder » de la Stanford Encyclopedia of Philosophy, qui est la source la plus solide de cette leçon et justifie pleinement le paragraphe sur le débat naturalisme / normativisme.</w:t>
      </w:r>
    </w:p>
    <w:p>
      <w:pPr>
        <w:spacing w:after="80"/>
      </w:pPr>
      <w:r>
        <w:rPr>
          <w:rFonts w:ascii="Times New Roman" w:cs="Times New Roman" w:eastAsia="Times New Roman" w:hAnsi="Times New Roman"/>
          <w:color w:val="1F2937"/>
          <w:sz w:val="22"/>
          <w:szCs w:val="22"/>
        </w:rPr>
        <w:t xml:space="preserve">Vérifié lors de la relecture et inchangé : la fondation de la psychopathologie comme discipline par Karl Jaspers en 1913 ; les six modèles explicatifs et leurs caractérisations ; les quatre D — déviance, détresse, dysfonctionnement, durée — et la précision qu’aucun critère ne suffit seul ; l’encadré d’humilité sur le caractère philosophiquement débattu de la notion de trouble mental, qui est le meilleur passage de cette leçon d’ouverture. L’exercice 3 mérite d’être signalé : il demande d’identifier l’ANGLE MORT que crée le modèle vers lequel on penche spontanément. C’est la bonne question à poser en ouverture d’un parcours de psychopathologie.</w:t>
      </w:r>
    </w:p>
    <w:p>
      <w:pPr>
        <w:spacing w:after="80"/>
      </w:pPr>
      <w:r>
        <w:rPr>
          <w:rFonts w:ascii="Times New Roman" w:cs="Times New Roman" w:eastAsia="Times New Roman" w:hAnsi="Times New Roman"/>
          <w:color w:val="1F2937"/>
          <w:sz w:val="22"/>
          <w:szCs w:val="22"/>
        </w:rPr>
        <w:t xml:space="preserve">Deux constats de format, signalés et non corrigés parce qu’ils relèvent d’une production incomplète et non d’une erreur. D’abord la taille : 4 840 caractères, contre 14 000 à 20 000 pour les leçons produites à partir d’août. Ensuite, et c’est plus gênant, AUCUN des trois exercices ni le challenge ne comporte d’éléments de réponse : ce sont des consignes nues. La leçon 05 présente le même profil. À partir de la leçon 03, puis systématiquement à partir de la leçon 06, chaque exercice est accompagné de son corrigé — le format du parcours s’est stabilisé en cours de route, et les deux premières leçons n’ont jamais été reprises.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jq_xtlbxr0tyo1xdvqr_" Type="http://schemas.openxmlformats.org/officeDocument/2006/relationships/hyperlink" Target="https://en.wikipedia.org/wiki/Psychopathology" TargetMode="External"/><Relationship Id="rId1uceexxhiqixkx5n_2mgh" Type="http://schemas.openxmlformats.org/officeDocument/2006/relationships/hyperlink" Target="https://plato.stanford.edu/entries/mental-disorder/" TargetMode="External"/><Relationship Id="rIdegzts04q9ub2kdsnypqbs" Type="http://schemas.openxmlformats.org/officeDocument/2006/relationships/hyperlink" Target="https://www.cairn.info/psychologie-clinique-et-psychopathologie--9782100747221-page-109.htm" TargetMode="External"/><Relationship Id="rIdaq-kcfcvx10sgkuoiaqju" Type="http://schemas.openxmlformats.org/officeDocument/2006/relationships/hyperlink" Target="https://www.psycom.org/"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2026-06-13T10:55:38.853Z</dcterms:created>
  <dcterms:modified xsi:type="dcterms:W3CDTF">2026-06-13T10:55:38.858Z</dcterms:modified>
</cp:coreProperties>
</file>

<file path=docProps/custom.xml><?xml version="1.0" encoding="utf-8"?>
<Properties xmlns="http://schemas.openxmlformats.org/officeDocument/2006/custom-properties" xmlns:vt="http://schemas.openxmlformats.org/officeDocument/2006/docPropsVTypes"/>
</file>