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i w:val="false"/>
          <w:iCs w:val="false"/>
          <w:color w:val="1B3A6B"/>
          <w:sz w:val="32"/>
          <w:szCs w:val="32"/>
        </w:rPr>
        <w:t xml:space="preserve">Veille SERAFIN-PH — Synthèse hebdomadaire</w:t>
      </w:r>
    </w:p>
    <w:p>
      <w:pPr>
        <w:spacing w:after="60" w:before="0"/>
        <w:jc w:val="center"/>
      </w:pPr>
      <w:r>
        <w:rPr>
          <w:rFonts w:ascii="Calibri" w:cs="Calibri" w:eastAsia="Calibri" w:hAnsi="Calibri"/>
          <w:b w:val="false"/>
          <w:bCs w:val="false"/>
          <w:i/>
          <w:iCs/>
          <w:color w:val="1F2937"/>
          <w:sz w:val="22"/>
          <w:szCs w:val="22"/>
        </w:rPr>
        <w:t xml:space="preserve">Date de production : 16 septembre 2026</w:t>
      </w:r>
    </w:p>
    <w:p>
      <w:pPr>
        <w:spacing w:after="60" w:before="0"/>
        <w:jc w:val="center"/>
      </w:pPr>
      <w:r>
        <w:rPr>
          <w:rFonts w:ascii="Calibri" w:cs="Calibri" w:eastAsia="Calibri" w:hAnsi="Calibri"/>
          <w:b w:val="false"/>
          <w:bCs w:val="false"/>
          <w:i/>
          <w:iCs/>
          <w:color w:val="1F2937"/>
          <w:sz w:val="22"/>
          <w:szCs w:val="22"/>
        </w:rPr>
        <w:t xml:space="preserve">Fenêtre de veille : du 09/09/2026 au 16/09/2026</w:t>
      </w:r>
    </w:p>
    <w:p>
      <w:pPr>
        <w:spacing w:after="120" w:before="120"/>
        <w:jc w:val="left"/>
      </w:pPr>
      <w:r>
        <w:rPr>
          <w:rFonts w:ascii="Calibri" w:cs="Calibri" w:eastAsia="Calibri" w:hAnsi="Calibri"/>
          <w:b/>
          <w:bCs/>
          <w:i w:val="false"/>
          <w:iCs w:val="false"/>
          <w:color w:val="B45309"/>
          <w:sz w:val="22"/>
          <w:szCs w:val="22"/>
        </w:rPr>
        <w:t xml:space="preserve">⚠️ SEMAINE CREUSE — Aucune publication officielle SERAFIN-PH n'a été identifiée dans la fenêtre du 09/09/2026 au 16/09/2026. La note ci-dessous présente les éléments de rappel/contexte les plus récents issus des sources consultées.</w:t>
      </w:r>
    </w:p>
    <w:p>
      <w:pPr>
        <w:pBdr>
          <w:bottom w:val="single" w:color="1B3A6B" w:sz="4"/>
        </w:pBdr>
        <w:spacing w:after="100" w:before="100"/>
      </w:pPr>
    </w:p>
    <w:p>
      <w:pPr>
        <w:spacing w:after="120" w:before="220"/>
      </w:pPr>
      <w:r>
        <w:rPr>
          <w:rFonts w:ascii="Calibri" w:cs="Calibri" w:eastAsia="Calibri" w:hAnsi="Calibri"/>
          <w:b/>
          <w:bCs/>
          <w:i w:val="false"/>
          <w:iCs w:val="false"/>
          <w:color w:val="1B3A6B"/>
          <w:sz w:val="28"/>
          <w:szCs w:val="28"/>
        </w:rPr>
        <w:t xml:space="preserve">Sources consultées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B3A6B" w:val="solid"/>
            <w:tcMar>
              <w:top w:type="dxa" w:w="80"/>
              <w:left w:type="dxa" w:w="120"/>
              <w:bottom w:type="dxa" w:w="80"/>
              <w:right w:type="dxa" w:w="120"/>
            </w:tcMar>
          </w:tcPr>
          <w:p>
            <w:pPr>
              <w:jc w:val="center"/>
            </w:pPr>
            <w:r>
              <w:rPr>
                <w:rFonts w:ascii="Calibri" w:cs="Calibri" w:eastAsia="Calibri" w:hAnsi="Calibri"/>
                <w:b/>
                <w:bCs/>
                <w:i w:val="false"/>
                <w:iCs w:val="false"/>
                <w:color w:val="FFFFFF"/>
                <w:sz w:val="20"/>
                <w:szCs w:val="20"/>
              </w:rPr>
              <w:t xml:space="preserve">Statut</w:t>
            </w:r>
          </w:p>
        </w:tc>
        <w:tc>
          <w:tcPr>
            <w:shd w:fill="1B3A6B" w:val="solid"/>
            <w:tcMar>
              <w:top w:type="dxa" w:w="80"/>
              <w:left w:type="dxa" w:w="120"/>
              <w:bottom w:type="dxa" w:w="80"/>
              <w:right w:type="dxa" w:w="120"/>
            </w:tcMar>
          </w:tcPr>
          <w:p>
            <w:pPr>
              <w:jc w:val="center"/>
            </w:pPr>
            <w:r>
              <w:rPr>
                <w:rFonts w:ascii="Calibri" w:cs="Calibri" w:eastAsia="Calibri" w:hAnsi="Calibri"/>
                <w:b/>
                <w:bCs/>
                <w:i w:val="false"/>
                <w:iCs w:val="false"/>
                <w:color w:val="FFFFFF"/>
                <w:sz w:val="20"/>
                <w:szCs w:val="20"/>
              </w:rPr>
              <w:t xml:space="preserve">Source</w:t>
            </w:r>
          </w:p>
        </w:tc>
        <w:tc>
          <w:tcPr>
            <w:shd w:fill="1B3A6B" w:val="solid"/>
            <w:tcMar>
              <w:top w:type="dxa" w:w="80"/>
              <w:left w:type="dxa" w:w="120"/>
              <w:bottom w:type="dxa" w:w="80"/>
              <w:right w:type="dxa" w:w="120"/>
            </w:tcMar>
          </w:tcPr>
          <w:p>
            <w:pPr>
              <w:jc w:val="center"/>
            </w:pPr>
            <w:r>
              <w:rPr>
                <w:rFonts w:ascii="Calibri" w:cs="Calibri" w:eastAsia="Calibri" w:hAnsi="Calibri"/>
                <w:b/>
                <w:bCs/>
                <w:i w:val="false"/>
                <w:iCs w:val="false"/>
                <w:color w:val="FFFFFF"/>
                <w:sz w:val="20"/>
                <w:szCs w:val="20"/>
              </w:rPr>
              <w:t xml:space="preserve">URL</w:t>
            </w:r>
          </w:p>
        </w:tc>
        <w:tc>
          <w:tcPr>
            <w:shd w:fill="1B3A6B" w:val="solid"/>
            <w:tcMar>
              <w:top w:type="dxa" w:w="80"/>
              <w:left w:type="dxa" w:w="120"/>
              <w:bottom w:type="dxa" w:w="80"/>
              <w:right w:type="dxa" w:w="120"/>
            </w:tcMar>
          </w:tcPr>
          <w:p>
            <w:pPr>
              <w:jc w:val="center"/>
            </w:pPr>
            <w:r>
              <w:rPr>
                <w:rFonts w:ascii="Calibri" w:cs="Calibri" w:eastAsia="Calibri" w:hAnsi="Calibri"/>
                <w:b/>
                <w:bCs/>
                <w:i w:val="false"/>
                <w:iCs w:val="false"/>
                <w:color w:val="FFFFFF"/>
                <w:sz w:val="20"/>
                <w:szCs w:val="20"/>
              </w:rPr>
              <w:t xml:space="preserve">Note</w:t>
            </w:r>
          </w:p>
        </w:tc>
      </w:tr>
      <w:tr>
        <w:tc>
          <w:tcPr>
            <w:shd w:fill="FFFFFF" w:val="solid"/>
            <w:tcMar>
              <w:top w:type="dxa" w:w="60"/>
              <w:left w:type="dxa" w:w="100"/>
              <w:bottom w:type="dxa" w:w="60"/>
              <w:right w:type="dxa" w:w="100"/>
            </w:tcMar>
          </w:tcPr>
          <w:p>
            <w:pPr>
              <w:jc w:val="center"/>
            </w:pPr>
            <w:r>
              <w:rPr>
                <w:rFonts w:ascii="Calibri" w:cs="Calibri" w:eastAsia="Calibri" w:hAnsi="Calibri"/>
                <w:b w:val="false"/>
                <w:bCs w:val="false"/>
                <w:i w:val="false"/>
                <w:iCs w:val="false"/>
                <w:color w:val="1F2937"/>
                <w:sz w:val="20"/>
                <w:szCs w:val="20"/>
              </w:rPr>
              <w:t xml:space="preserve">✅</w:t>
            </w:r>
          </w:p>
        </w:tc>
        <w:tc>
          <w:tcPr>
            <w:shd w:fill="FFFFFF" w:val="solid"/>
            <w:tcMar>
              <w:top w:type="dxa" w:w="60"/>
              <w:left w:type="dxa" w:w="100"/>
              <w:bottom w:type="dxa" w:w="60"/>
              <w:right w:type="dxa" w:w="100"/>
            </w:tcMar>
          </w:tcPr>
          <w:p>
            <w:pPr>
              <w:jc w:val="left"/>
            </w:pPr>
            <w:r>
              <w:rPr>
                <w:rFonts w:ascii="Calibri" w:cs="Calibri" w:eastAsia="Calibri" w:hAnsi="Calibri"/>
                <w:b w:val="false"/>
                <w:bCs w:val="false"/>
                <w:i w:val="false"/>
                <w:iCs w:val="false"/>
                <w:color w:val="1F2937"/>
                <w:sz w:val="20"/>
                <w:szCs w:val="20"/>
              </w:rPr>
              <w:t xml:space="preserve">handicap.gouv.fr — 14ème comité stratégique SERAFIN-PH (23/03/2026)</w:t>
            </w:r>
          </w:p>
        </w:tc>
        <w:tc>
          <w:tcPr>
            <w:tcW w:type="pct" w:w="40%"/>
            <w:shd w:fill="FFFFFF" w:val="solid"/>
            <w:tcMar>
              <w:top w:type="dxa" w:w="60"/>
              <w:left w:type="dxa" w:w="100"/>
              <w:bottom w:type="dxa" w:w="60"/>
              <w:right w:type="dxa" w:w="100"/>
            </w:tcMar>
          </w:tcPr>
          <w:p>
            <w:hyperlink w:history="1" r:id="rIdndhwv12s_ivhtrfifn6cr">
              <w:r>
                <w:rPr>
                  <w:rFonts w:ascii="Calibri" w:cs="Calibri" w:eastAsia="Calibri" w:hAnsi="Calibri"/>
                  <w:color w:val="1155CC"/>
                  <w:sz w:val="16"/>
                  <w:szCs w:val="16"/>
                  <w:u w:val="single"/>
                </w:rPr>
                <w:t xml:space="preserve">https://handicap.gouv.fr/reforme-tarifaire-des-esms-serafin-ph-14e-reunion-du-comite-strategique</w:t>
              </w:r>
            </w:hyperlink>
          </w:p>
        </w:tc>
        <w:tc>
          <w:tcPr>
            <w:shd w:fill="FFFFFF" w:val="solid"/>
            <w:tcMar>
              <w:top w:type="dxa" w:w="60"/>
              <w:left w:type="dxa" w:w="100"/>
              <w:bottom w:type="dxa" w:w="60"/>
              <w:right w:type="dxa" w:w="100"/>
            </w:tcMar>
          </w:tcPr>
          <w:p>
            <w:pPr>
              <w:jc w:val="left"/>
            </w:pPr>
            <w:r>
              <w:rPr>
                <w:rFonts w:ascii="Calibri" w:cs="Calibri" w:eastAsia="Calibri" w:hAnsi="Calibri"/>
                <w:b w:val="false"/>
                <w:bCs w:val="false"/>
                <w:i w:val="false"/>
                <w:iCs w:val="false"/>
                <w:color w:val="1F2937"/>
                <w:sz w:val="20"/>
                <w:szCs w:val="20"/>
              </w:rPr>
              <w:t xml:space="preserve">Consultée, informations utilisées</w:t>
            </w:r>
          </w:p>
        </w:tc>
      </w:tr>
      <w:tr>
        <w:tc>
          <w:tcPr>
            <w:shd w:fill="EEF2F7" w:val="solid"/>
            <w:tcMar>
              <w:top w:type="dxa" w:w="60"/>
              <w:left w:type="dxa" w:w="100"/>
              <w:bottom w:type="dxa" w:w="60"/>
              <w:right w:type="dxa" w:w="100"/>
            </w:tcMar>
          </w:tcPr>
          <w:p>
            <w:pPr>
              <w:jc w:val="center"/>
            </w:pPr>
            <w:r>
              <w:rPr>
                <w:rFonts w:ascii="Calibri" w:cs="Calibri" w:eastAsia="Calibri" w:hAnsi="Calibri"/>
                <w:b w:val="false"/>
                <w:bCs w:val="false"/>
                <w:i w:val="false"/>
                <w:iCs w:val="false"/>
                <w:color w:val="1F2937"/>
                <w:sz w:val="20"/>
                <w:szCs w:val="20"/>
              </w:rPr>
              <w:t xml:space="preserve">✅</w:t>
            </w:r>
          </w:p>
        </w:tc>
        <w:tc>
          <w:tcPr>
            <w:shd w:fill="EEF2F7" w:val="solid"/>
            <w:tcMar>
              <w:top w:type="dxa" w:w="60"/>
              <w:left w:type="dxa" w:w="100"/>
              <w:bottom w:type="dxa" w:w="60"/>
              <w:right w:type="dxa" w:w="100"/>
            </w:tcMar>
          </w:tcPr>
          <w:p>
            <w:pPr>
              <w:jc w:val="left"/>
            </w:pPr>
            <w:r>
              <w:rPr>
                <w:rFonts w:ascii="Calibri" w:cs="Calibri" w:eastAsia="Calibri" w:hAnsi="Calibri"/>
                <w:b w:val="false"/>
                <w:bCs w:val="false"/>
                <w:i w:val="false"/>
                <w:iCs w:val="false"/>
                <w:color w:val="1F2937"/>
                <w:sz w:val="20"/>
                <w:szCs w:val="20"/>
              </w:rPr>
              <w:t xml:space="preserve">cnsa.fr — Préparation recueil PH 2026 (publié 17/12/2025)</w:t>
            </w:r>
          </w:p>
        </w:tc>
        <w:tc>
          <w:tcPr>
            <w:tcW w:type="pct" w:w="40%"/>
            <w:shd w:fill="EEF2F7" w:val="solid"/>
            <w:tcMar>
              <w:top w:type="dxa" w:w="60"/>
              <w:left w:type="dxa" w:w="100"/>
              <w:bottom w:type="dxa" w:w="60"/>
              <w:right w:type="dxa" w:w="100"/>
            </w:tcMar>
          </w:tcPr>
          <w:p>
            <w:hyperlink w:history="1" r:id="rId47ko0hug4pxaxlq4ik6un">
              <w:r>
                <w:rPr>
                  <w:rFonts w:ascii="Calibri" w:cs="Calibri" w:eastAsia="Calibri" w:hAnsi="Calibri"/>
                  <w:color w:val="1155CC"/>
                  <w:sz w:val="16"/>
                  <w:szCs w:val="16"/>
                  <w:u w:val="single"/>
                </w:rPr>
                <w:t xml:space="preserve">https://www.cnsa.fr/actualites/serafin-ph-preparation-du-recueil-dinformations-ph-2026-en-vue-du-deploiement-du-futur</w:t>
              </w:r>
            </w:hyperlink>
          </w:p>
        </w:tc>
        <w:tc>
          <w:tcPr>
            <w:shd w:fill="EEF2F7" w:val="solid"/>
            <w:tcMar>
              <w:top w:type="dxa" w:w="60"/>
              <w:left w:type="dxa" w:w="100"/>
              <w:bottom w:type="dxa" w:w="60"/>
              <w:right w:type="dxa" w:w="100"/>
            </w:tcMar>
          </w:tcPr>
          <w:p>
            <w:pPr>
              <w:jc w:val="left"/>
            </w:pPr>
            <w:r>
              <w:rPr>
                <w:rFonts w:ascii="Calibri" w:cs="Calibri" w:eastAsia="Calibri" w:hAnsi="Calibri"/>
                <w:b w:val="false"/>
                <w:bCs w:val="false"/>
                <w:i w:val="false"/>
                <w:iCs w:val="false"/>
                <w:color w:val="1F2937"/>
                <w:sz w:val="20"/>
                <w:szCs w:val="20"/>
              </w:rPr>
              <w:t xml:space="preserve">Consultée, informations utilisées</w:t>
            </w:r>
          </w:p>
        </w:tc>
      </w:tr>
      <w:tr>
        <w:tc>
          <w:tcPr>
            <w:shd w:fill="FFFFFF" w:val="solid"/>
            <w:tcMar>
              <w:top w:type="dxa" w:w="60"/>
              <w:left w:type="dxa" w:w="100"/>
              <w:bottom w:type="dxa" w:w="60"/>
              <w:right w:type="dxa" w:w="100"/>
            </w:tcMar>
          </w:tcPr>
          <w:p>
            <w:pPr>
              <w:jc w:val="center"/>
            </w:pPr>
            <w:r>
              <w:rPr>
                <w:rFonts w:ascii="Calibri" w:cs="Calibri" w:eastAsia="Calibri" w:hAnsi="Calibri"/>
                <w:b w:val="false"/>
                <w:bCs w:val="false"/>
                <w:i w:val="false"/>
                <w:iCs w:val="false"/>
                <w:color w:val="1F2937"/>
                <w:sz w:val="20"/>
                <w:szCs w:val="20"/>
              </w:rPr>
              <w:t xml:space="preserve">✅</w:t>
            </w:r>
          </w:p>
        </w:tc>
        <w:tc>
          <w:tcPr>
            <w:shd w:fill="FFFFFF" w:val="solid"/>
            <w:tcMar>
              <w:top w:type="dxa" w:w="60"/>
              <w:left w:type="dxa" w:w="100"/>
              <w:bottom w:type="dxa" w:w="60"/>
              <w:right w:type="dxa" w:w="100"/>
            </w:tcMar>
          </w:tcPr>
          <w:p>
            <w:pPr>
              <w:jc w:val="left"/>
            </w:pPr>
            <w:r>
              <w:rPr>
                <w:rFonts w:ascii="Calibri" w:cs="Calibri" w:eastAsia="Calibri" w:hAnsi="Calibri"/>
                <w:b w:val="false"/>
                <w:bCs w:val="false"/>
                <w:i w:val="false"/>
                <w:iCs w:val="false"/>
                <w:color w:val="1F2937"/>
                <w:sz w:val="20"/>
                <w:szCs w:val="20"/>
              </w:rPr>
              <w:t xml:space="preserve">atih.sante.fr — Recueil national PH 2025</w:t>
            </w:r>
          </w:p>
        </w:tc>
        <w:tc>
          <w:tcPr>
            <w:tcW w:type="pct" w:w="40%"/>
            <w:shd w:fill="FFFFFF" w:val="solid"/>
            <w:tcMar>
              <w:top w:type="dxa" w:w="60"/>
              <w:left w:type="dxa" w:w="100"/>
              <w:bottom w:type="dxa" w:w="60"/>
              <w:right w:type="dxa" w:w="100"/>
            </w:tcMar>
          </w:tcPr>
          <w:p>
            <w:hyperlink w:history="1" r:id="rId2jdphkl_t_ke24k0zns18">
              <w:r>
                <w:rPr>
                  <w:rFonts w:ascii="Calibri" w:cs="Calibri" w:eastAsia="Calibri" w:hAnsi="Calibri"/>
                  <w:color w:val="1155CC"/>
                  <w:sz w:val="16"/>
                  <w:szCs w:val="16"/>
                  <w:u w:val="single"/>
                </w:rPr>
                <w:t xml:space="preserve">https://www.atih.sante.fr/recueil-national-ph-2025</w:t>
              </w:r>
            </w:hyperlink>
          </w:p>
        </w:tc>
        <w:tc>
          <w:tcPr>
            <w:shd w:fill="FFFFFF" w:val="solid"/>
            <w:tcMar>
              <w:top w:type="dxa" w:w="60"/>
              <w:left w:type="dxa" w:w="100"/>
              <w:bottom w:type="dxa" w:w="60"/>
              <w:right w:type="dxa" w:w="100"/>
            </w:tcMar>
          </w:tcPr>
          <w:p>
            <w:pPr>
              <w:jc w:val="left"/>
            </w:pPr>
            <w:r>
              <w:rPr>
                <w:rFonts w:ascii="Calibri" w:cs="Calibri" w:eastAsia="Calibri" w:hAnsi="Calibri"/>
                <w:b w:val="false"/>
                <w:bCs w:val="false"/>
                <w:i w:val="false"/>
                <w:iCs w:val="false"/>
                <w:color w:val="1F2937"/>
                <w:sz w:val="20"/>
                <w:szCs w:val="20"/>
              </w:rPr>
              <w:t xml:space="preserve">Consultée (contexte recueil 2025, base du modèle)</w:t>
            </w:r>
          </w:p>
        </w:tc>
      </w:tr>
      <w:tr>
        <w:tc>
          <w:tcPr>
            <w:shd w:fill="EEF2F7" w:val="solid"/>
            <w:tcMar>
              <w:top w:type="dxa" w:w="60"/>
              <w:left w:type="dxa" w:w="100"/>
              <w:bottom w:type="dxa" w:w="60"/>
              <w:right w:type="dxa" w:w="100"/>
            </w:tcMar>
          </w:tcPr>
          <w:p>
            <w:pPr>
              <w:jc w:val="center"/>
            </w:pPr>
            <w:r>
              <w:rPr>
                <w:rFonts w:ascii="Calibri" w:cs="Calibri" w:eastAsia="Calibri" w:hAnsi="Calibri"/>
                <w:b w:val="false"/>
                <w:bCs w:val="false"/>
                <w:i w:val="false"/>
                <w:iCs w:val="false"/>
                <w:color w:val="1F2937"/>
                <w:sz w:val="20"/>
                <w:szCs w:val="20"/>
              </w:rPr>
              <w:t xml:space="preserve">✅</w:t>
            </w:r>
          </w:p>
        </w:tc>
        <w:tc>
          <w:tcPr>
            <w:shd w:fill="EEF2F7" w:val="solid"/>
            <w:tcMar>
              <w:top w:type="dxa" w:w="60"/>
              <w:left w:type="dxa" w:w="100"/>
              <w:bottom w:type="dxa" w:w="60"/>
              <w:right w:type="dxa" w:w="100"/>
            </w:tcMar>
          </w:tcPr>
          <w:p>
            <w:pPr>
              <w:jc w:val="left"/>
            </w:pPr>
            <w:r>
              <w:rPr>
                <w:rFonts w:ascii="Calibri" w:cs="Calibri" w:eastAsia="Calibri" w:hAnsi="Calibri"/>
                <w:b w:val="false"/>
                <w:bCs w:val="false"/>
                <w:i w:val="false"/>
                <w:iCs w:val="false"/>
                <w:color w:val="1F2937"/>
                <w:sz w:val="20"/>
                <w:szCs w:val="20"/>
              </w:rPr>
              <w:t xml:space="preserve">cnsa.fr — Page principale SERAFIN-PH</w:t>
            </w:r>
          </w:p>
        </w:tc>
        <w:tc>
          <w:tcPr>
            <w:tcW w:type="pct" w:w="40%"/>
            <w:shd w:fill="EEF2F7" w:val="solid"/>
            <w:tcMar>
              <w:top w:type="dxa" w:w="60"/>
              <w:left w:type="dxa" w:w="100"/>
              <w:bottom w:type="dxa" w:w="60"/>
              <w:right w:type="dxa" w:w="100"/>
            </w:tcMar>
          </w:tcPr>
          <w:p>
            <w:hyperlink w:history="1" r:id="rIdcr1pf_gt6v0deistdi1sv">
              <w:r>
                <w:rPr>
                  <w:rFonts w:ascii="Calibri" w:cs="Calibri" w:eastAsia="Calibri" w:hAnsi="Calibri"/>
                  <w:color w:val="1155CC"/>
                  <w:sz w:val="16"/>
                  <w:szCs w:val="16"/>
                  <w:u w:val="single"/>
                </w:rPr>
                <w:t xml:space="preserve">https://www.cnsa.fr/budget-et-financement/serafin-PH</w:t>
              </w:r>
            </w:hyperlink>
          </w:p>
        </w:tc>
        <w:tc>
          <w:tcPr>
            <w:shd w:fill="EEF2F7" w:val="solid"/>
            <w:tcMar>
              <w:top w:type="dxa" w:w="60"/>
              <w:left w:type="dxa" w:w="100"/>
              <w:bottom w:type="dxa" w:w="60"/>
              <w:right w:type="dxa" w:w="100"/>
            </w:tcMar>
          </w:tcPr>
          <w:p>
            <w:pPr>
              <w:jc w:val="left"/>
            </w:pPr>
            <w:r>
              <w:rPr>
                <w:rFonts w:ascii="Calibri" w:cs="Calibri" w:eastAsia="Calibri" w:hAnsi="Calibri"/>
                <w:b w:val="false"/>
                <w:bCs w:val="false"/>
                <w:i w:val="false"/>
                <w:iCs w:val="false"/>
                <w:color w:val="1F2937"/>
                <w:sz w:val="20"/>
                <w:szCs w:val="20"/>
              </w:rPr>
              <w:t xml:space="preserve">Consultée, taux participation + structure du modèle utilisés</w:t>
            </w:r>
          </w:p>
        </w:tc>
      </w:tr>
    </w:tbl>
    <w:p>
      <w:pPr>
        <w:pBdr>
          <w:bottom w:val="single" w:color="1B3A6B" w:sz="4"/>
        </w:pBdr>
        <w:spacing w:after="100" w:before="100"/>
      </w:pPr>
    </w:p>
    <w:p>
      <w:pPr>
        <w:spacing w:after="120" w:before="220"/>
      </w:pPr>
      <w:r>
        <w:rPr>
          <w:rFonts w:ascii="Calibri" w:cs="Calibri" w:eastAsia="Calibri" w:hAnsi="Calibri"/>
          <w:b/>
          <w:bCs/>
          <w:i w:val="false"/>
          <w:iCs w:val="false"/>
          <w:color w:val="1B3A6B"/>
          <w:sz w:val="28"/>
          <w:szCs w:val="28"/>
        </w:rPr>
        <w:t xml:space="preserve">🔵 En bref — Tableau de bord</w:t>
      </w:r>
    </w:p>
    <w:p>
      <w:pPr>
        <w:spacing w:after="100" w:before="60"/>
      </w:pPr>
      <w:r>
        <w:rPr>
          <w:rFonts w:ascii="Calibri" w:cs="Calibri" w:eastAsia="Calibri" w:hAnsi="Calibri"/>
          <w:b w:val="false"/>
          <w:bCs w:val="false"/>
          <w:i/>
          <w:iCs/>
          <w:color w:val="1F2937"/>
          <w:sz w:val="22"/>
          <w:szCs w:val="22"/>
        </w:rPr>
        <w:t xml:space="preserve">Aucune actualité datée dans la fenêtre de veille (09/09 – 16/09/2026). Le tableau ci-dessous reflète l'état institutionnel au 16/09/2026.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solid"/>
            <w:tcMar>
              <w:top w:type="dxa" w:w="80"/>
              <w:left w:type="dxa" w:w="120"/>
              <w:bottom w:type="dxa" w:w="80"/>
              <w:right w:type="dxa" w:w="120"/>
            </w:tcMar>
          </w:tcPr>
          <w:p>
            <w:pPr>
              <w:jc w:val="center"/>
            </w:pPr>
            <w:r>
              <w:rPr>
                <w:rFonts w:ascii="Calibri" w:cs="Calibri" w:eastAsia="Calibri" w:hAnsi="Calibri"/>
                <w:b/>
                <w:bCs/>
                <w:i w:val="false"/>
                <w:iCs w:val="false"/>
                <w:color w:val="FFFFFF"/>
                <w:sz w:val="20"/>
                <w:szCs w:val="20"/>
              </w:rPr>
              <w:t xml:space="preserve">Thème</w:t>
            </w:r>
          </w:p>
        </w:tc>
        <w:tc>
          <w:tcPr>
            <w:shd w:fill="1B3A6B" w:val="solid"/>
            <w:tcMar>
              <w:top w:type="dxa" w:w="80"/>
              <w:left w:type="dxa" w:w="120"/>
              <w:bottom w:type="dxa" w:w="80"/>
              <w:right w:type="dxa" w:w="120"/>
            </w:tcMar>
          </w:tcPr>
          <w:p>
            <w:pPr>
              <w:jc w:val="center"/>
            </w:pPr>
            <w:r>
              <w:rPr>
                <w:rFonts w:ascii="Calibri" w:cs="Calibri" w:eastAsia="Calibri" w:hAnsi="Calibri"/>
                <w:b/>
                <w:bCs/>
                <w:i w:val="false"/>
                <w:iCs w:val="false"/>
                <w:color w:val="FFFFFF"/>
                <w:sz w:val="20"/>
                <w:szCs w:val="20"/>
              </w:rPr>
              <w:t xml:space="preserve">Statut</w:t>
            </w:r>
          </w:p>
        </w:tc>
        <w:tc>
          <w:tcPr>
            <w:shd w:fill="1B3A6B" w:val="solid"/>
            <w:tcMar>
              <w:top w:type="dxa" w:w="80"/>
              <w:left w:type="dxa" w:w="120"/>
              <w:bottom w:type="dxa" w:w="80"/>
              <w:right w:type="dxa" w:w="120"/>
            </w:tcMar>
          </w:tcPr>
          <w:p>
            <w:pPr>
              <w:jc w:val="center"/>
            </w:pPr>
            <w:r>
              <w:rPr>
                <w:rFonts w:ascii="Calibri" w:cs="Calibri" w:eastAsia="Calibri" w:hAnsi="Calibri"/>
                <w:b/>
                <w:bCs/>
                <w:i w:val="false"/>
                <w:iCs w:val="false"/>
                <w:color w:val="FFFFFF"/>
                <w:sz w:val="20"/>
                <w:szCs w:val="20"/>
              </w:rPr>
              <w:t xml:space="preserve">Échéance / Date</w:t>
            </w:r>
          </w:p>
        </w:tc>
      </w:tr>
      <w:tr>
        <w:tc>
          <w:tcPr>
            <w:shd w:fill="FFFFFF" w:val="solid"/>
            <w:tcMar>
              <w:top w:type="dxa" w:w="60"/>
              <w:left w:type="dxa" w:w="100"/>
              <w:bottom w:type="dxa" w:w="60"/>
              <w:right w:type="dxa" w:w="100"/>
            </w:tcMar>
          </w:tcPr>
          <w:p>
            <w:pPr>
              <w:jc w:val="left"/>
            </w:pPr>
            <w:r>
              <w:rPr>
                <w:rFonts w:ascii="Calibri" w:cs="Calibri" w:eastAsia="Calibri" w:hAnsi="Calibri"/>
                <w:b/>
                <w:bCs/>
                <w:i w:val="false"/>
                <w:iCs w:val="false"/>
                <w:color w:val="1F2937"/>
                <w:sz w:val="20"/>
                <w:szCs w:val="20"/>
              </w:rPr>
              <w:t xml:space="preserve">Semaine 09/09 – 16/09/2026</w:t>
            </w:r>
          </w:p>
        </w:tc>
        <w:tc>
          <w:tcPr>
            <w:shd w:fill="FFFFFF" w:val="solid"/>
            <w:tcMar>
              <w:top w:type="dxa" w:w="60"/>
              <w:left w:type="dxa" w:w="100"/>
              <w:bottom w:type="dxa" w:w="60"/>
              <w:right w:type="dxa" w:w="100"/>
            </w:tcMar>
          </w:tcPr>
          <w:p>
            <w:pPr>
              <w:jc w:val="left"/>
            </w:pPr>
            <w:r>
              <w:rPr>
                <w:rFonts w:ascii="Calibri" w:cs="Calibri" w:eastAsia="Calibri" w:hAnsi="Calibri"/>
                <w:b w:val="false"/>
                <w:bCs w:val="false"/>
                <w:i w:val="false"/>
                <w:iCs w:val="false"/>
                <w:color w:val="1F2937"/>
                <w:sz w:val="20"/>
                <w:szCs w:val="20"/>
              </w:rPr>
              <w:t xml:space="preserve">⚪ Semaine creuse — aucune publication officielle dans la fenêtre</w:t>
            </w:r>
          </w:p>
        </w:tc>
        <w:tc>
          <w:tcPr>
            <w:shd w:fill="FFFFFF" w:val="solid"/>
            <w:tcMar>
              <w:top w:type="dxa" w:w="60"/>
              <w:left w:type="dxa" w:w="100"/>
              <w:bottom w:type="dxa" w:w="60"/>
              <w:right w:type="dxa" w:w="100"/>
            </w:tcMar>
          </w:tcPr>
          <w:p>
            <w:pPr>
              <w:jc w:val="center"/>
            </w:pPr>
            <w:r>
              <w:rPr>
                <w:rFonts w:ascii="Calibri" w:cs="Calibri" w:eastAsia="Calibri" w:hAnsi="Calibri"/>
                <w:b w:val="false"/>
                <w:bCs w:val="false"/>
                <w:i w:val="false"/>
                <w:iCs w:val="false"/>
                <w:color w:val="1F2937"/>
                <w:sz w:val="20"/>
                <w:szCs w:val="20"/>
              </w:rPr>
              <w:t xml:space="preserve">—</w:t>
            </w:r>
          </w:p>
        </w:tc>
      </w:tr>
      <w:tr>
        <w:tc>
          <w:tcPr>
            <w:shd w:fill="EEF2F7" w:val="solid"/>
            <w:tcMar>
              <w:top w:type="dxa" w:w="60"/>
              <w:left w:type="dxa" w:w="100"/>
              <w:bottom w:type="dxa" w:w="60"/>
              <w:right w:type="dxa" w:w="100"/>
            </w:tcMar>
          </w:tcPr>
          <w:p>
            <w:pPr>
              <w:jc w:val="left"/>
            </w:pPr>
            <w:r>
              <w:rPr>
                <w:rFonts w:ascii="Calibri" w:cs="Calibri" w:eastAsia="Calibri" w:hAnsi="Calibri"/>
                <w:b/>
                <w:bCs/>
                <w:i w:val="false"/>
                <w:iCs w:val="false"/>
                <w:color w:val="1F2937"/>
                <w:sz w:val="20"/>
                <w:szCs w:val="20"/>
              </w:rPr>
              <w:t xml:space="preserve">14ème comité stratégique</w:t>
            </w:r>
          </w:p>
        </w:tc>
        <w:tc>
          <w:tcPr>
            <w:shd w:fill="EEF2F7" w:val="solid"/>
            <w:tcMar>
              <w:top w:type="dxa" w:w="60"/>
              <w:left w:type="dxa" w:w="100"/>
              <w:bottom w:type="dxa" w:w="60"/>
              <w:right w:type="dxa" w:w="100"/>
            </w:tcMar>
          </w:tcPr>
          <w:p>
            <w:pPr>
              <w:jc w:val="left"/>
            </w:pPr>
            <w:r>
              <w:rPr>
                <w:rFonts w:ascii="Calibri" w:cs="Calibri" w:eastAsia="Calibri" w:hAnsi="Calibri"/>
                <w:b w:val="false"/>
                <w:bCs w:val="false"/>
                <w:i w:val="false"/>
                <w:iCs w:val="false"/>
                <w:color w:val="1F2937"/>
                <w:sz w:val="20"/>
                <w:szCs w:val="20"/>
              </w:rPr>
              <w:t xml:space="preserve">✅ Déploiement 01/01/2027 confirmé</w:t>
            </w:r>
          </w:p>
        </w:tc>
        <w:tc>
          <w:tcPr>
            <w:shd w:fill="EEF2F7" w:val="solid"/>
            <w:tcMar>
              <w:top w:type="dxa" w:w="60"/>
              <w:left w:type="dxa" w:w="100"/>
              <w:bottom w:type="dxa" w:w="60"/>
              <w:right w:type="dxa" w:w="100"/>
            </w:tcMar>
          </w:tcPr>
          <w:p>
            <w:pPr>
              <w:jc w:val="center"/>
            </w:pPr>
            <w:r>
              <w:rPr>
                <w:rFonts w:ascii="Calibri" w:cs="Calibri" w:eastAsia="Calibri" w:hAnsi="Calibri"/>
                <w:b w:val="false"/>
                <w:bCs w:val="false"/>
                <w:i w:val="false"/>
                <w:iCs w:val="false"/>
                <w:color w:val="1F2937"/>
                <w:sz w:val="20"/>
                <w:szCs w:val="20"/>
              </w:rPr>
              <w:t xml:space="preserve">23/03/2026 (passé)</w:t>
            </w:r>
          </w:p>
        </w:tc>
      </w:tr>
      <w:tr>
        <w:tc>
          <w:tcPr>
            <w:shd w:fill="FFFFFF" w:val="solid"/>
            <w:tcMar>
              <w:top w:type="dxa" w:w="60"/>
              <w:left w:type="dxa" w:w="100"/>
              <w:bottom w:type="dxa" w:w="60"/>
              <w:right w:type="dxa" w:w="100"/>
            </w:tcMar>
          </w:tcPr>
          <w:p>
            <w:pPr>
              <w:jc w:val="left"/>
            </w:pPr>
            <w:r>
              <w:rPr>
                <w:rFonts w:ascii="Calibri" w:cs="Calibri" w:eastAsia="Calibri" w:hAnsi="Calibri"/>
                <w:b/>
                <w:bCs/>
                <w:i w:val="false"/>
                <w:iCs w:val="false"/>
                <w:color w:val="1F2937"/>
                <w:sz w:val="20"/>
                <w:szCs w:val="20"/>
              </w:rPr>
              <w:t xml:space="preserve">Recueil PH 2026 — phases 1 &amp; 2</w:t>
            </w:r>
          </w:p>
        </w:tc>
        <w:tc>
          <w:tcPr>
            <w:shd w:fill="FFFFFF" w:val="solid"/>
            <w:tcMar>
              <w:top w:type="dxa" w:w="60"/>
              <w:left w:type="dxa" w:w="100"/>
              <w:bottom w:type="dxa" w:w="60"/>
              <w:right w:type="dxa" w:w="100"/>
            </w:tcMar>
          </w:tcPr>
          <w:p>
            <w:pPr>
              <w:jc w:val="left"/>
            </w:pPr>
            <w:r>
              <w:rPr>
                <w:rFonts w:ascii="Calibri" w:cs="Calibri" w:eastAsia="Calibri" w:hAnsi="Calibri"/>
                <w:b w:val="false"/>
                <w:bCs w:val="false"/>
                <w:i w:val="false"/>
                <w:iCs w:val="false"/>
                <w:color w:val="1F2937"/>
                <w:sz w:val="20"/>
                <w:szCs w:val="20"/>
              </w:rPr>
              <w:t xml:space="preserve">✅ TERMINÉ (mars – début juillet 2026)</w:t>
            </w:r>
          </w:p>
        </w:tc>
        <w:tc>
          <w:tcPr>
            <w:shd w:fill="FFFFFF" w:val="solid"/>
            <w:tcMar>
              <w:top w:type="dxa" w:w="60"/>
              <w:left w:type="dxa" w:w="100"/>
              <w:bottom w:type="dxa" w:w="60"/>
              <w:right w:type="dxa" w:w="100"/>
            </w:tcMar>
          </w:tcPr>
          <w:p>
            <w:pPr>
              <w:jc w:val="center"/>
            </w:pPr>
            <w:r>
              <w:rPr>
                <w:rFonts w:ascii="Calibri" w:cs="Calibri" w:eastAsia="Calibri" w:hAnsi="Calibri"/>
                <w:b w:val="false"/>
                <w:bCs w:val="false"/>
                <w:i w:val="false"/>
                <w:iCs w:val="false"/>
                <w:color w:val="1F2937"/>
                <w:sz w:val="20"/>
                <w:szCs w:val="20"/>
              </w:rPr>
              <w:t xml:space="preserve">Passé</w:t>
            </w:r>
          </w:p>
        </w:tc>
      </w:tr>
      <w:tr>
        <w:tc>
          <w:tcPr>
            <w:shd w:fill="EEF2F7" w:val="solid"/>
            <w:tcMar>
              <w:top w:type="dxa" w:w="60"/>
              <w:left w:type="dxa" w:w="100"/>
              <w:bottom w:type="dxa" w:w="60"/>
              <w:right w:type="dxa" w:w="100"/>
            </w:tcMar>
          </w:tcPr>
          <w:p>
            <w:pPr>
              <w:jc w:val="left"/>
            </w:pPr>
            <w:r>
              <w:rPr>
                <w:rFonts w:ascii="Calibri" w:cs="Calibri" w:eastAsia="Calibri" w:hAnsi="Calibri"/>
                <w:b/>
                <w:bCs/>
                <w:i w:val="false"/>
                <w:iCs w:val="false"/>
                <w:color w:val="1F2937"/>
                <w:sz w:val="20"/>
                <w:szCs w:val="20"/>
              </w:rPr>
              <w:t xml:space="preserve">Finalisation données recueil PH 2026</w:t>
            </w:r>
          </w:p>
        </w:tc>
        <w:tc>
          <w:tcPr>
            <w:shd w:fill="EEF2F7" w:val="solid"/>
            <w:tcMar>
              <w:top w:type="dxa" w:w="60"/>
              <w:left w:type="dxa" w:w="100"/>
              <w:bottom w:type="dxa" w:w="60"/>
              <w:right w:type="dxa" w:w="100"/>
            </w:tcMar>
          </w:tcPr>
          <w:p>
            <w:pPr>
              <w:jc w:val="left"/>
            </w:pPr>
            <w:r>
              <w:rPr>
                <w:rFonts w:ascii="Calibri" w:cs="Calibri" w:eastAsia="Calibri" w:hAnsi="Calibri"/>
                <w:b w:val="false"/>
                <w:bCs w:val="false"/>
                <w:i w:val="false"/>
                <w:iCs w:val="false"/>
                <w:color w:val="1F2937"/>
                <w:sz w:val="20"/>
                <w:szCs w:val="20"/>
              </w:rPr>
              <w:t xml:space="preserve">🔴 En cours — automne 2026</w:t>
            </w:r>
          </w:p>
        </w:tc>
        <w:tc>
          <w:tcPr>
            <w:shd w:fill="EEF2F7" w:val="solid"/>
            <w:tcMar>
              <w:top w:type="dxa" w:w="60"/>
              <w:left w:type="dxa" w:w="100"/>
              <w:bottom w:type="dxa" w:w="60"/>
              <w:right w:type="dxa" w:w="100"/>
            </w:tcMar>
          </w:tcPr>
          <w:p>
            <w:pPr>
              <w:jc w:val="center"/>
            </w:pPr>
            <w:r>
              <w:rPr>
                <w:rFonts w:ascii="Calibri" w:cs="Calibri" w:eastAsia="Calibri" w:hAnsi="Calibri"/>
                <w:b w:val="false"/>
                <w:bCs w:val="false"/>
                <w:i w:val="false"/>
                <w:iCs w:val="false"/>
                <w:color w:val="1F2937"/>
                <w:sz w:val="20"/>
                <w:szCs w:val="20"/>
              </w:rPr>
              <w:t xml:space="preserve">Automne 2026 (en cours)</w:t>
            </w:r>
          </w:p>
        </w:tc>
      </w:tr>
      <w:tr>
        <w:tc>
          <w:tcPr>
            <w:shd w:fill="FFFFFF" w:val="solid"/>
            <w:tcMar>
              <w:top w:type="dxa" w:w="60"/>
              <w:left w:type="dxa" w:w="100"/>
              <w:bottom w:type="dxa" w:w="60"/>
              <w:right w:type="dxa" w:w="100"/>
            </w:tcMar>
          </w:tcPr>
          <w:p>
            <w:pPr>
              <w:jc w:val="left"/>
            </w:pPr>
            <w:r>
              <w:rPr>
                <w:rFonts w:ascii="Calibri" w:cs="Calibri" w:eastAsia="Calibri" w:hAnsi="Calibri"/>
                <w:b/>
                <w:bCs/>
                <w:i w:val="false"/>
                <w:iCs w:val="false"/>
                <w:color w:val="1F2937"/>
                <w:sz w:val="20"/>
                <w:szCs w:val="20"/>
              </w:rPr>
              <w:t xml:space="preserve">Simulations individualisées d'impact</w:t>
            </w:r>
          </w:p>
        </w:tc>
        <w:tc>
          <w:tcPr>
            <w:shd w:fill="FFFFFF" w:val="solid"/>
            <w:tcMar>
              <w:top w:type="dxa" w:w="60"/>
              <w:left w:type="dxa" w:w="100"/>
              <w:bottom w:type="dxa" w:w="60"/>
              <w:right w:type="dxa" w:w="100"/>
            </w:tcMar>
          </w:tcPr>
          <w:p>
            <w:pPr>
              <w:jc w:val="left"/>
            </w:pPr>
            <w:r>
              <w:rPr>
                <w:rFonts w:ascii="Calibri" w:cs="Calibri" w:eastAsia="Calibri" w:hAnsi="Calibri"/>
                <w:b w:val="false"/>
                <w:bCs w:val="false"/>
                <w:i w:val="false"/>
                <w:iCs w:val="false"/>
                <w:color w:val="1F2937"/>
                <w:sz w:val="20"/>
                <w:szCs w:val="20"/>
              </w:rPr>
              <w:t xml:space="preserve">🟡 À recevoir via les ARS</w:t>
            </w:r>
          </w:p>
        </w:tc>
        <w:tc>
          <w:tcPr>
            <w:shd w:fill="FFFFFF" w:val="solid"/>
            <w:tcMar>
              <w:top w:type="dxa" w:w="60"/>
              <w:left w:type="dxa" w:w="100"/>
              <w:bottom w:type="dxa" w:w="60"/>
              <w:right w:type="dxa" w:w="100"/>
            </w:tcMar>
          </w:tcPr>
          <w:p>
            <w:pPr>
              <w:jc w:val="center"/>
            </w:pPr>
            <w:r>
              <w:rPr>
                <w:rFonts w:ascii="Calibri" w:cs="Calibri" w:eastAsia="Calibri" w:hAnsi="Calibri"/>
                <w:b w:val="false"/>
                <w:bCs w:val="false"/>
                <w:i w:val="false"/>
                <w:iCs w:val="false"/>
                <w:color w:val="1F2937"/>
                <w:sz w:val="20"/>
                <w:szCs w:val="20"/>
              </w:rPr>
              <w:t xml:space="preserve">Avant 01/01/2027</w:t>
            </w:r>
          </w:p>
        </w:tc>
      </w:tr>
      <w:tr>
        <w:tc>
          <w:tcPr>
            <w:shd w:fill="EEF2F7" w:val="solid"/>
            <w:tcMar>
              <w:top w:type="dxa" w:w="60"/>
              <w:left w:type="dxa" w:w="100"/>
              <w:bottom w:type="dxa" w:w="60"/>
              <w:right w:type="dxa" w:w="100"/>
            </w:tcMar>
          </w:tcPr>
          <w:p>
            <w:pPr>
              <w:jc w:val="left"/>
            </w:pPr>
            <w:r>
              <w:rPr>
                <w:rFonts w:ascii="Calibri" w:cs="Calibri" w:eastAsia="Calibri" w:hAnsi="Calibri"/>
                <w:b/>
                <w:bCs/>
                <w:i w:val="false"/>
                <w:iCs w:val="false"/>
                <w:color w:val="1F2937"/>
                <w:sz w:val="20"/>
                <w:szCs w:val="20"/>
              </w:rPr>
              <w:t xml:space="preserve">Déploiement opérationnel SERAFIN-PH</w:t>
            </w:r>
          </w:p>
        </w:tc>
        <w:tc>
          <w:tcPr>
            <w:shd w:fill="EEF2F7" w:val="solid"/>
            <w:tcMar>
              <w:top w:type="dxa" w:w="60"/>
              <w:left w:type="dxa" w:w="100"/>
              <w:bottom w:type="dxa" w:w="60"/>
              <w:right w:type="dxa" w:w="100"/>
            </w:tcMar>
          </w:tcPr>
          <w:p>
            <w:pPr>
              <w:jc w:val="left"/>
            </w:pPr>
            <w:r>
              <w:rPr>
                <w:rFonts w:ascii="Calibri" w:cs="Calibri" w:eastAsia="Calibri" w:hAnsi="Calibri"/>
                <w:b w:val="false"/>
                <w:bCs w:val="false"/>
                <w:i w:val="false"/>
                <w:iCs w:val="false"/>
                <w:color w:val="1F2937"/>
                <w:sz w:val="20"/>
                <w:szCs w:val="20"/>
              </w:rPr>
              <w:t xml:space="preserve">🔵 Confirmé — secteur enfance</w:t>
            </w:r>
          </w:p>
        </w:tc>
        <w:tc>
          <w:tcPr>
            <w:shd w:fill="EEF2F7" w:val="solid"/>
            <w:tcMar>
              <w:top w:type="dxa" w:w="60"/>
              <w:left w:type="dxa" w:w="100"/>
              <w:bottom w:type="dxa" w:w="60"/>
              <w:right w:type="dxa" w:w="100"/>
            </w:tcMar>
          </w:tcPr>
          <w:p>
            <w:pPr>
              <w:jc w:val="center"/>
            </w:pPr>
            <w:r>
              <w:rPr>
                <w:rFonts w:ascii="Calibri" w:cs="Calibri" w:eastAsia="Calibri" w:hAnsi="Calibri"/>
                <w:b w:val="false"/>
                <w:bCs w:val="false"/>
                <w:i w:val="false"/>
                <w:iCs w:val="false"/>
                <w:color w:val="1F2937"/>
                <w:sz w:val="20"/>
                <w:szCs w:val="20"/>
              </w:rPr>
              <w:t xml:space="preserve">01/01/2027</w:t>
            </w:r>
          </w:p>
        </w:tc>
      </w:tr>
    </w:tbl>
    <w:p>
      <w:pPr>
        <w:pBdr>
          <w:bottom w:val="single" w:color="1B3A6B" w:sz="4"/>
        </w:pBdr>
        <w:spacing w:after="100" w:before="100"/>
      </w:pPr>
    </w:p>
    <w:p>
      <w:pPr>
        <w:spacing w:after="120" w:before="220"/>
      </w:pPr>
      <w:r>
        <w:rPr>
          <w:rFonts w:ascii="Calibri" w:cs="Calibri" w:eastAsia="Calibri" w:hAnsi="Calibri"/>
          <w:b/>
          <w:bCs/>
          <w:i w:val="false"/>
          <w:iCs w:val="false"/>
          <w:color w:val="1B3A6B"/>
          <w:sz w:val="28"/>
          <w:szCs w:val="28"/>
        </w:rPr>
        <w:t xml:space="preserve">Rappel / Contexte institutionnel</w:t>
      </w:r>
    </w:p>
    <w:p>
      <w:pPr>
        <w:spacing w:after="80" w:before="60"/>
      </w:pPr>
      <w:r>
        <w:rPr>
          <w:rFonts w:ascii="Calibri" w:cs="Calibri" w:eastAsia="Calibri" w:hAnsi="Calibri"/>
          <w:b w:val="false"/>
          <w:bCs w:val="false"/>
          <w:i/>
          <w:iCs/>
          <w:color w:val="1F2937"/>
          <w:sz w:val="20"/>
          <w:szCs w:val="20"/>
        </w:rPr>
        <w:t xml:space="preserve">Section clairement séparée de la rubrique d'actualité. Les informations ci-dessous sont hors de la fenêtre de veille mais restent la référence institutionnelle la plus récente disponible.</w:t>
      </w:r>
    </w:p>
    <w:p>
      <w:pPr>
        <w:spacing w:after="120" w:before="220"/>
      </w:pPr>
      <w:r>
        <w:rPr>
          <w:rFonts w:ascii="Calibri" w:cs="Calibri" w:eastAsia="Calibri" w:hAnsi="Calibri"/>
          <w:b/>
          <w:bCs/>
          <w:i w:val="false"/>
          <w:iCs w:val="false"/>
          <w:color w:val="1B3A6B"/>
          <w:sz w:val="24"/>
          <w:szCs w:val="24"/>
        </w:rPr>
        <w:t xml:space="preserve">14ème comité stratégique SERAFIN-PH (23 mars 2026)</w:t>
      </w:r>
    </w:p>
    <w:p>
      <w:pPr>
        <w:spacing w:after="40" w:before="40"/>
      </w:pPr>
      <w:r>
        <w:rPr>
          <w:rFonts w:ascii="Calibri" w:cs="Calibri" w:eastAsia="Calibri" w:hAnsi="Calibri"/>
          <w:b/>
          <w:bCs/>
          <w:i w:val="false"/>
          <w:iCs w:val="false"/>
          <w:color w:val="1F2937"/>
          <w:sz w:val="22"/>
          <w:szCs w:val="22"/>
        </w:rPr>
        <w:t xml:space="preserve">Source : </w:t>
      </w:r>
      <w:r>
        <w:rPr>
          <w:rFonts w:ascii="Calibri" w:cs="Calibri" w:eastAsia="Calibri" w:hAnsi="Calibri"/>
          <w:b w:val="false"/>
          <w:bCs w:val="false"/>
          <w:i w:val="false"/>
          <w:iCs w:val="false"/>
          <w:color w:val="1F2937"/>
          <w:sz w:val="22"/>
          <w:szCs w:val="22"/>
        </w:rPr>
        <w:t xml:space="preserve">handicap.gouv.fr — consultée le 16/09/2026, code HTTP 200</w:t>
      </w:r>
    </w:p>
    <w:p>
      <w:pPr>
        <w:spacing w:after="40" w:before="40"/>
      </w:pPr>
      <w:hyperlink w:history="1" r:id="rIdozowbf0_2l6laharm6lcb">
        <w:r>
          <w:rPr>
            <w:rFonts w:ascii="Calibri" w:cs="Calibri" w:eastAsia="Calibri" w:hAnsi="Calibri"/>
            <w:color w:val="1155CC"/>
            <w:sz w:val="22"/>
            <w:szCs w:val="22"/>
            <w:u w:val="single"/>
          </w:rPr>
          <w:t xml:space="preserve">https://handicap.gouv.fr/reforme-tarifaire-des-esms-serafin-ph-14e-reunion-du-comite-strategique</w:t>
        </w:r>
      </w:hyperlink>
    </w:p>
    <w:p>
      <w:pPr>
        <w:spacing w:after="60" w:before="60"/>
        <w:jc w:val="left"/>
      </w:pPr>
      <w:r>
        <w:rPr>
          <w:rFonts w:ascii="Calibri" w:cs="Calibri" w:eastAsia="Calibri" w:hAnsi="Calibri"/>
          <w:b w:val="false"/>
          <w:bCs w:val="false"/>
          <w:i w:val="false"/>
          <w:iCs w:val="false"/>
          <w:color w:val="1F2937"/>
          <w:sz w:val="22"/>
          <w:szCs w:val="22"/>
        </w:rPr>
        <w:t xml:space="preserve">Date de la réunion : 23 mars 2026</w:t>
      </w:r>
    </w:p>
    <w:p>
      <w:pPr>
        <w:spacing w:after="60" w:before="60"/>
        <w:jc w:val="left"/>
      </w:pPr>
      <w:r>
        <w:rPr>
          <w:rFonts w:ascii="Calibri" w:cs="Calibri" w:eastAsia="Calibri" w:hAnsi="Calibri"/>
          <w:b w:val="false"/>
          <w:bCs w:val="false"/>
          <w:i w:val="false"/>
          <w:iCs w:val="false"/>
          <w:color w:val="1F2937"/>
          <w:sz w:val="22"/>
          <w:szCs w:val="22"/>
        </w:rPr>
        <w:t xml:space="preserve">Présidence : Camille Galliard-Minier, ministre chargée de l'Autonomie et des Personnes handicapées</w:t>
      </w:r>
    </w:p>
    <w:p>
      <w:pPr>
        <w:spacing w:after="60" w:before="60"/>
        <w:jc w:val="left"/>
      </w:pPr>
      <w:r>
        <w:rPr>
          <w:rFonts w:ascii="Calibri" w:cs="Calibri" w:eastAsia="Calibri" w:hAnsi="Calibri"/>
          <w:b w:val="false"/>
          <w:bCs w:val="false"/>
          <w:i w:val="false"/>
          <w:iCs w:val="false"/>
          <w:color w:val="1F2937"/>
          <w:sz w:val="22"/>
          <w:szCs w:val="22"/>
        </w:rPr>
        <w:t xml:space="preserve">Co-présidente : Stéphanie Rist, ministre de la Santé, des Familles, de l'Autonomie et des Personnes handicapées</w:t>
      </w:r>
    </w:p>
    <w:p>
      <w:pPr>
        <w:spacing w:after="60" w:before="60"/>
        <w:jc w:val="left"/>
      </w:pPr>
      <w:r>
        <w:rPr>
          <w:rFonts w:ascii="Calibri" w:cs="Calibri" w:eastAsia="Calibri" w:hAnsi="Calibri"/>
          <w:b w:val="false"/>
          <w:bCs w:val="false"/>
          <w:i w:val="false"/>
          <w:iCs w:val="false"/>
          <w:color w:val="1F2937"/>
          <w:sz w:val="22"/>
          <w:szCs w:val="22"/>
        </w:rPr>
        <w:t xml:space="preserve">Décision principale : mise en œuvre opérationnelle de la réforme tarifaire confirmée au 1er janvier 2027 pour les ESMS du secteur enfance.</w:t>
      </w:r>
    </w:p>
    <w:p>
      <w:pPr>
        <w:spacing w:after="60" w:before="60"/>
        <w:jc w:val="left"/>
      </w:pPr>
      <w:r>
        <w:rPr>
          <w:rFonts w:ascii="Calibri" w:cs="Calibri" w:eastAsia="Calibri" w:hAnsi="Calibri"/>
          <w:b w:val="false"/>
          <w:bCs w:val="false"/>
          <w:i w:val="false"/>
          <w:iCs w:val="false"/>
          <w:color w:val="1F2937"/>
          <w:sz w:val="22"/>
          <w:szCs w:val="22"/>
        </w:rPr>
        <w:t xml:space="preserve">2026 : année critique pour finaliser les paramètres du modèle.</w:t>
      </w:r>
    </w:p>
    <w:p>
      <w:pPr>
        <w:spacing w:after="60" w:before="60"/>
        <w:jc w:val="left"/>
      </w:pPr>
      <w:r>
        <w:rPr>
          <w:rFonts w:ascii="Calibri" w:cs="Calibri" w:eastAsia="Calibri" w:hAnsi="Calibri"/>
          <w:b w:val="false"/>
          <w:bCs w:val="false"/>
          <w:i w:val="false"/>
          <w:iCs w:val="false"/>
          <w:color w:val="1F2937"/>
          <w:sz w:val="22"/>
          <w:szCs w:val="22"/>
        </w:rPr>
        <w:t xml:space="preserve">30 mars 2026 : lancement du recueil de données via SIDOBA.</w:t>
      </w:r>
    </w:p>
    <w:p>
      <w:pPr>
        <w:spacing w:after="60" w:before="60"/>
        <w:jc w:val="left"/>
      </w:pPr>
      <w:r>
        <w:rPr>
          <w:rFonts w:ascii="Calibri" w:cs="Calibri" w:eastAsia="Calibri" w:hAnsi="Calibri"/>
          <w:b w:val="false"/>
          <w:bCs w:val="false"/>
          <w:i w:val="false"/>
          <w:iCs w:val="false"/>
          <w:color w:val="1F2937"/>
          <w:sz w:val="22"/>
          <w:szCs w:val="22"/>
        </w:rPr>
        <w:t xml:space="preserve">Automne 2026 : date limite de finalisation des données.</w:t>
      </w:r>
    </w:p>
    <w:p>
      <w:pPr>
        <w:spacing w:after="60" w:before="60"/>
        <w:jc w:val="left"/>
      </w:pPr>
      <w:r>
        <w:rPr>
          <w:rFonts w:ascii="Calibri" w:cs="Calibri" w:eastAsia="Calibri" w:hAnsi="Calibri"/>
          <w:b w:val="false"/>
          <w:bCs w:val="false"/>
          <w:i w:val="false"/>
          <w:iCs w:val="false"/>
          <w:color w:val="1F2937"/>
          <w:sz w:val="22"/>
          <w:szCs w:val="22"/>
        </w:rPr>
        <w:t xml:space="preserve">Un dispositif d'accompagnement déployé : webinaires, rencontres régionales, ressources pédagogiques.</w:t>
      </w:r>
    </w:p>
    <w:p>
      <w:pPr>
        <w:spacing w:after="120" w:before="220"/>
      </w:pPr>
      <w:r>
        <w:rPr>
          <w:rFonts w:ascii="Calibri" w:cs="Calibri" w:eastAsia="Calibri" w:hAnsi="Calibri"/>
          <w:b/>
          <w:bCs/>
          <w:i w:val="false"/>
          <w:iCs w:val="false"/>
          <w:color w:val="1B3A6B"/>
          <w:sz w:val="24"/>
          <w:szCs w:val="24"/>
        </w:rPr>
        <w:t xml:space="preserve">Recueil PH 2026 — État au 16/09/2026</w:t>
      </w:r>
    </w:p>
    <w:p>
      <w:pPr>
        <w:spacing w:after="40" w:before="40"/>
      </w:pPr>
      <w:r>
        <w:rPr>
          <w:rFonts w:ascii="Calibri" w:cs="Calibri" w:eastAsia="Calibri" w:hAnsi="Calibri"/>
          <w:b w:val="false"/>
          <w:bCs w:val="false"/>
          <w:i w:val="false"/>
          <w:iCs w:val="false"/>
          <w:color w:val="1F2937"/>
          <w:sz w:val="22"/>
          <w:szCs w:val="22"/>
        </w:rPr>
        <w:t xml:space="preserve">Sources : </w:t>
      </w:r>
      <w:r>
        <w:rPr>
          <w:rFonts w:ascii="Calibri" w:cs="Calibri" w:eastAsia="Calibri" w:hAnsi="Calibri"/>
          <w:b w:val="false"/>
          <w:bCs w:val="false"/>
          <w:i w:val="false"/>
          <w:iCs w:val="false"/>
          <w:color w:val="1F2937"/>
          <w:sz w:val="22"/>
          <w:szCs w:val="22"/>
        </w:rPr>
        <w:t xml:space="preserve">cnsa.fr (17/12/2025) + cnsa.fr page principale — consultées le 16/09/2026, codes HTTP 200</w:t>
      </w:r>
    </w:p>
    <w:p>
      <w:pPr>
        <w:spacing w:after="40" w:before="40"/>
      </w:pPr>
      <w:hyperlink w:history="1" r:id="rIdf1xpfqpok9y5ojerbdbnp">
        <w:r>
          <w:rPr>
            <w:rFonts w:ascii="Calibri" w:cs="Calibri" w:eastAsia="Calibri" w:hAnsi="Calibri"/>
            <w:color w:val="1155CC"/>
            <w:sz w:val="22"/>
            <w:szCs w:val="22"/>
            <w:u w:val="single"/>
          </w:rPr>
          <w:t xml:space="preserve">https://www.cnsa.fr/actualites/serafin-ph-preparation-du-recueil-dinformations-ph-2026-en-vue-du-deploiement-du-futur</w:t>
        </w:r>
      </w:hyperlink>
    </w:p>
    <w:p>
      <w:pPr>
        <w:spacing w:after="40" w:before="40"/>
      </w:pPr>
      <w:hyperlink w:history="1" r:id="rIdrhfn2p8ntq2ghzpz8m6zd">
        <w:r>
          <w:rPr>
            <w:rFonts w:ascii="Calibri" w:cs="Calibri" w:eastAsia="Calibri" w:hAnsi="Calibri"/>
            <w:color w:val="1155CC"/>
            <w:sz w:val="22"/>
            <w:szCs w:val="22"/>
            <w:u w:val="single"/>
          </w:rPr>
          <w:t xml:space="preserve">https://www.cnsa.fr/budget-et-financement/serafin-PH</w:t>
        </w:r>
      </w:hyperlink>
    </w:p>
    <w:p>
      <w:pPr>
        <w:spacing w:after="60" w:before="60"/>
        <w:jc w:val="left"/>
      </w:pPr>
      <w:r>
        <w:rPr>
          <w:rFonts w:ascii="Calibri" w:cs="Calibri" w:eastAsia="Calibri" w:hAnsi="Calibri"/>
          <w:b w:val="false"/>
          <w:bCs w:val="false"/>
          <w:i w:val="false"/>
          <w:iCs w:val="false"/>
          <w:color w:val="1F2937"/>
          <w:sz w:val="22"/>
          <w:szCs w:val="22"/>
        </w:rPr>
        <w:t xml:space="preserve">Phase 1 (mars 2026, TERMINÉE) : recueil des caractéristiques des places disponibles.</w:t>
      </w:r>
    </w:p>
    <w:p>
      <w:pPr>
        <w:spacing w:after="60" w:before="60"/>
        <w:jc w:val="left"/>
      </w:pPr>
      <w:r>
        <w:rPr>
          <w:rFonts w:ascii="Calibri" w:cs="Calibri" w:eastAsia="Calibri" w:hAnsi="Calibri"/>
          <w:b w:val="false"/>
          <w:bCs w:val="false"/>
          <w:i w:val="false"/>
          <w:iCs w:val="false"/>
          <w:color w:val="1F2937"/>
          <w:sz w:val="22"/>
          <w:szCs w:val="22"/>
        </w:rPr>
        <w:t xml:space="preserve">Phase 2 (mai 2026, TERMINÉE) : recueil des indicateurs de modulation de l'activité et de la dotation complémentaire (environ 40 variables au total). Les données individuelles d'accompagnement et les modalités de transport ne sont pas collectées à ce stade.</w:t>
      </w:r>
    </w:p>
    <w:p>
      <w:pPr>
        <w:spacing w:after="60" w:before="60"/>
        <w:jc w:val="left"/>
      </w:pPr>
      <w:r>
        <w:rPr>
          <w:rFonts w:ascii="Calibri" w:cs="Calibri" w:eastAsia="Calibri" w:hAnsi="Calibri"/>
          <w:b w:val="false"/>
          <w:bCs w:val="false"/>
          <w:i w:val="false"/>
          <w:iCs w:val="false"/>
          <w:color w:val="1F2937"/>
          <w:sz w:val="22"/>
          <w:szCs w:val="22"/>
        </w:rPr>
        <w:t xml:space="preserve">Outil : application SERAFIN-PH dans SIDOBA (système d'information de l'offre de la branche autonomie, CNSA). Ouverture : 30 mars 2026.</w:t>
      </w:r>
    </w:p>
    <w:p>
      <w:pPr>
        <w:spacing w:after="60" w:before="60"/>
        <w:jc w:val="left"/>
      </w:pPr>
      <w:r>
        <w:rPr>
          <w:rFonts w:ascii="Calibri" w:cs="Calibri" w:eastAsia="Calibri" w:hAnsi="Calibri"/>
          <w:b w:val="false"/>
          <w:bCs w:val="false"/>
          <w:i w:val="false"/>
          <w:iCs w:val="false"/>
          <w:color w:val="1F2937"/>
          <w:sz w:val="22"/>
          <w:szCs w:val="22"/>
        </w:rPr>
        <w:t xml:space="preserve">2026 : année blanche — sans incidence financière directe. Objectif : initialiser le modèle et produire des simulations individualisées pour chaque ESMS.</w:t>
      </w:r>
    </w:p>
    <w:p>
      <w:pPr>
        <w:spacing w:after="60" w:before="60"/>
        <w:jc w:val="left"/>
      </w:pPr>
      <w:r>
        <w:rPr>
          <w:rFonts w:ascii="Calibri" w:cs="Calibri" w:eastAsia="Calibri" w:hAnsi="Calibri"/>
          <w:b w:val="false"/>
          <w:bCs w:val="false"/>
          <w:i w:val="false"/>
          <w:iCs w:val="false"/>
          <w:color w:val="1F2937"/>
          <w:sz w:val="22"/>
          <w:szCs w:val="22"/>
        </w:rPr>
        <w:t xml:space="preserve">Finalisation des données : automne 2026 (phase en cours à la date de production de cette note).</w:t>
      </w:r>
    </w:p>
    <w:p>
      <w:pPr>
        <w:spacing w:after="60" w:before="60"/>
        <w:jc w:val="left"/>
      </w:pPr>
      <w:r>
        <w:rPr>
          <w:rFonts w:ascii="Calibri" w:cs="Calibri" w:eastAsia="Calibri" w:hAnsi="Calibri"/>
          <w:b w:val="false"/>
          <w:bCs w:val="false"/>
          <w:i w:val="false"/>
          <w:iCs w:val="false"/>
          <w:color w:val="1F2937"/>
          <w:sz w:val="22"/>
          <w:szCs w:val="22"/>
        </w:rPr>
        <w:t xml:space="preserve">Recueil PH 2025 (contexte) : 88 % de taux de participation, représentant 90 % des capacités installées en France. Source : cnsa.fr/budget-et-financement/serafin-PH.</w:t>
      </w:r>
    </w:p>
    <w:p>
      <w:pPr>
        <w:spacing w:after="20" w:before="60"/>
      </w:pPr>
      <w:r>
        <w:rPr>
          <w:rFonts w:ascii="Calibri" w:cs="Calibri" w:eastAsia="Calibri" w:hAnsi="Calibri"/>
          <w:b/>
          <w:bCs/>
          <w:i w:val="false"/>
          <w:iCs w:val="false"/>
          <w:color w:val="1F2937"/>
          <w:sz w:val="22"/>
          <w:szCs w:val="22"/>
        </w:rPr>
        <w:t xml:space="preserve">Source ATIH (recueil national PH 2025) : </w:t>
      </w:r>
    </w:p>
    <w:p>
      <w:pPr>
        <w:spacing w:after="40" w:before="40"/>
      </w:pPr>
      <w:hyperlink w:history="1" r:id="rId9c1w4kivhftqujbaa1e0g">
        <w:r>
          <w:rPr>
            <w:rFonts w:ascii="Calibri" w:cs="Calibri" w:eastAsia="Calibri" w:hAnsi="Calibri"/>
            <w:color w:val="1155CC"/>
            <w:sz w:val="22"/>
            <w:szCs w:val="22"/>
            <w:u w:val="single"/>
          </w:rPr>
          <w:t xml:space="preserve">https://www.atih.sante.fr/recueil-national-ph-2025</w:t>
        </w:r>
      </w:hyperlink>
    </w:p>
    <w:p>
      <w:pPr>
        <w:spacing w:after="60" w:before="60"/>
        <w:jc w:val="left"/>
      </w:pPr>
      <w:r>
        <w:rPr>
          <w:rFonts w:ascii="Calibri" w:cs="Calibri" w:eastAsia="Calibri" w:hAnsi="Calibri"/>
          <w:b w:val="false"/>
          <w:bCs w:val="false"/>
          <w:i w:val="false"/>
          <w:iCs w:val="false"/>
          <w:color w:val="1F2937"/>
          <w:sz w:val="22"/>
          <w:szCs w:val="22"/>
        </w:rPr>
        <w:t xml:space="preserve">Outil de collecte utilisé en 2025 : RAMSECE-PH (saisie) + e-PH (transmission, authentification PLAGE). Ce recueil avait pour objectif une « application à blanc du modèle en 2026 ». Les résultats informent la phase de finalisation actuelle.</w:t>
      </w:r>
    </w:p>
    <w:p>
      <w:pPr>
        <w:spacing w:after="120" w:before="220"/>
      </w:pPr>
      <w:r>
        <w:rPr>
          <w:rFonts w:ascii="Calibri" w:cs="Calibri" w:eastAsia="Calibri" w:hAnsi="Calibri"/>
          <w:b/>
          <w:bCs/>
          <w:i w:val="false"/>
          <w:iCs w:val="false"/>
          <w:color w:val="1B3A6B"/>
          <w:sz w:val="24"/>
          <w:szCs w:val="24"/>
        </w:rPr>
        <w:t xml:space="preserve">Structure du modèle SERAFIN-PH</w:t>
      </w:r>
    </w:p>
    <w:p>
      <w:pPr>
        <w:spacing w:after="60" w:before="60"/>
        <w:jc w:val="left"/>
      </w:pPr>
      <w:r>
        <w:rPr>
          <w:rFonts w:ascii="Calibri" w:cs="Calibri" w:eastAsia="Calibri" w:hAnsi="Calibri"/>
          <w:b w:val="false"/>
          <w:bCs w:val="false"/>
          <w:i w:val="false"/>
          <w:iCs w:val="false"/>
          <w:color w:val="1F2937"/>
          <w:sz w:val="22"/>
          <w:szCs w:val="22"/>
        </w:rPr>
        <w:t xml:space="preserve">Confirmée par le comité stratégique du 23 mars 2026 (source : cnsa.fr/budget-et-financement/serafin-PH) :</w:t>
      </w:r>
    </w:p>
    <w:p>
      <w:pPr>
        <w:spacing w:after="60" w:before="60"/>
        <w:jc w:val="left"/>
      </w:pPr>
      <w:r>
        <w:rPr>
          <w:rFonts w:ascii="Calibri" w:cs="Calibri" w:eastAsia="Calibri" w:hAnsi="Calibri"/>
          <w:b w:val="false"/>
          <w:bCs w:val="false"/>
          <w:i w:val="false"/>
          <w:iCs w:val="false"/>
          <w:color w:val="1F2937"/>
          <w:sz w:val="22"/>
          <w:szCs w:val="22"/>
        </w:rPr>
        <w:t xml:space="preserve">• Composante 1 — Dotation globale : part principale (capacité de base + transport)</w:t>
      </w:r>
    </w:p>
    <w:p>
      <w:pPr>
        <w:spacing w:after="60" w:before="60"/>
        <w:jc w:val="left"/>
      </w:pPr>
      <w:r>
        <w:rPr>
          <w:rFonts w:ascii="Calibri" w:cs="Calibri" w:eastAsia="Calibri" w:hAnsi="Calibri"/>
          <w:b w:val="false"/>
          <w:bCs w:val="false"/>
          <w:i w:val="false"/>
          <w:iCs w:val="false"/>
          <w:color w:val="1F2937"/>
          <w:sz w:val="22"/>
          <w:szCs w:val="22"/>
        </w:rPr>
        <w:t xml:space="preserve">• Composante 2 — Modulation d'activité : ajustement selon l'activité réelle</w:t>
      </w:r>
    </w:p>
    <w:p>
      <w:pPr>
        <w:spacing w:after="60" w:before="60"/>
        <w:jc w:val="left"/>
      </w:pPr>
      <w:r>
        <w:rPr>
          <w:rFonts w:ascii="Calibri" w:cs="Calibri" w:eastAsia="Calibri" w:hAnsi="Calibri"/>
          <w:b w:val="false"/>
          <w:bCs w:val="false"/>
          <w:i w:val="false"/>
          <w:iCs w:val="false"/>
          <w:color w:val="1F2937"/>
          <w:sz w:val="22"/>
          <w:szCs w:val="22"/>
        </w:rPr>
        <w:t xml:space="preserve">• Composante 3 — Modulation sur objectifs (dotation complémentaire) : allocation ciblée sur des indicateurs de qualité</w:t>
      </w:r>
    </w:p>
    <w:p>
      <w:pPr>
        <w:spacing w:after="60" w:before="60"/>
        <w:jc w:val="left"/>
      </w:pPr>
      <w:r>
        <w:rPr>
          <w:rFonts w:ascii="Calibri" w:cs="Calibri" w:eastAsia="Calibri" w:hAnsi="Calibri"/>
          <w:b w:val="false"/>
          <w:bCs w:val="false"/>
          <w:i w:val="false"/>
          <w:iCs w:val="false"/>
          <w:color w:val="1F2937"/>
          <w:sz w:val="22"/>
          <w:szCs w:val="22"/>
        </w:rPr>
        <w:t xml:space="preserve">Convergence progressive sur 8 ans à compter de 2027.</w:t>
      </w:r>
    </w:p>
    <w:p>
      <w:pPr>
        <w:pBdr>
          <w:bottom w:val="single" w:color="1B3A6B" w:sz="4"/>
        </w:pBdr>
        <w:spacing w:after="100" w:before="100"/>
      </w:pPr>
    </w:p>
    <w:p>
      <w:pPr>
        <w:spacing w:after="120" w:before="220"/>
      </w:pPr>
      <w:r>
        <w:rPr>
          <w:rFonts w:ascii="Calibri" w:cs="Calibri" w:eastAsia="Calibri" w:hAnsi="Calibri"/>
          <w:b/>
          <w:bCs/>
          <w:i w:val="false"/>
          <w:iCs w:val="false"/>
          <w:color w:val="1B3A6B"/>
          <w:sz w:val="28"/>
          <w:szCs w:val="28"/>
        </w:rPr>
        <w:t xml:space="preserve">Points de vigilance pour les directions d'ESSMS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B3A6B" w:val="solid"/>
            <w:tcMar>
              <w:top w:type="dxa" w:w="80"/>
              <w:left w:type="dxa" w:w="120"/>
              <w:bottom w:type="dxa" w:w="80"/>
              <w:right w:type="dxa" w:w="120"/>
            </w:tcMar>
          </w:tcPr>
          <w:p>
            <w:pPr>
              <w:jc w:val="center"/>
            </w:pPr>
            <w:r>
              <w:rPr>
                <w:rFonts w:ascii="Calibri" w:cs="Calibri" w:eastAsia="Calibri" w:hAnsi="Calibri"/>
                <w:b/>
                <w:bCs/>
                <w:i w:val="false"/>
                <w:iCs w:val="false"/>
                <w:color w:val="FFFFFF"/>
                <w:sz w:val="20"/>
                <w:szCs w:val="20"/>
              </w:rPr>
              <w:t xml:space="preserve">⚠️ Point de vigilance</w:t>
            </w:r>
          </w:p>
        </w:tc>
        <w:tc>
          <w:tcPr>
            <w:shd w:fill="1B3A6B" w:val="solid"/>
            <w:tcMar>
              <w:top w:type="dxa" w:w="80"/>
              <w:left w:type="dxa" w:w="120"/>
              <w:bottom w:type="dxa" w:w="80"/>
              <w:right w:type="dxa" w:w="120"/>
            </w:tcMar>
          </w:tcPr>
          <w:p>
            <w:pPr>
              <w:jc w:val="center"/>
            </w:pPr>
            <w:r>
              <w:rPr>
                <w:rFonts w:ascii="Calibri" w:cs="Calibri" w:eastAsia="Calibri" w:hAnsi="Calibri"/>
                <w:b/>
                <w:bCs/>
                <w:i w:val="false"/>
                <w:iCs w:val="false"/>
                <w:color w:val="FFFFFF"/>
                <w:sz w:val="20"/>
                <w:szCs w:val="20"/>
              </w:rPr>
              <w:t xml:space="preserve">Détail pratique pour la direction</w:t>
            </w:r>
          </w:p>
        </w:tc>
      </w:tr>
      <w:tr>
        <w:tc>
          <w:tcPr>
            <w:shd w:fill="FFFFFF" w:val="solid"/>
            <w:tcMar>
              <w:top w:type="dxa" w:w="60"/>
              <w:left w:type="dxa" w:w="100"/>
              <w:bottom w:type="dxa" w:w="60"/>
              <w:right w:type="dxa" w:w="100"/>
            </w:tcMar>
          </w:tcPr>
          <w:p>
            <w:pPr>
              <w:jc w:val="left"/>
            </w:pPr>
            <w:r>
              <w:rPr>
                <w:rFonts w:ascii="Calibri" w:cs="Calibri" w:eastAsia="Calibri" w:hAnsi="Calibri"/>
                <w:b/>
                <w:bCs/>
                <w:i w:val="false"/>
                <w:iCs w:val="false"/>
                <w:color w:val="1F2937"/>
                <w:sz w:val="20"/>
                <w:szCs w:val="20"/>
              </w:rPr>
              <w:t xml:space="preserve">Finalisation du recueil PH 2026 (automne 2026)</w:t>
            </w:r>
          </w:p>
        </w:tc>
        <w:tc>
          <w:tcPr>
            <w:shd w:fill="FFFFFF" w:val="solid"/>
            <w:tcMar>
              <w:top w:type="dxa" w:w="60"/>
              <w:left w:type="dxa" w:w="100"/>
              <w:bottom w:type="dxa" w:w="60"/>
              <w:right w:type="dxa" w:w="100"/>
            </w:tcMar>
          </w:tcPr>
          <w:p>
            <w:pPr>
              <w:jc w:val="left"/>
            </w:pPr>
            <w:r>
              <w:rPr>
                <w:rFonts w:ascii="Calibri" w:cs="Calibri" w:eastAsia="Calibri" w:hAnsi="Calibri"/>
                <w:b w:val="false"/>
                <w:bCs w:val="false"/>
                <w:i w:val="false"/>
                <w:iCs w:val="false"/>
                <w:color w:val="1F2937"/>
                <w:sz w:val="20"/>
                <w:szCs w:val="20"/>
              </w:rPr>
              <w:t xml:space="preserve">Les ESMS enfance doivent s'assurer que leurs données ont bien été transmises et validées dans SIDOBA avant la clôture automnale. Vérifier auprès de l'ARS la date limite locale.</w:t>
            </w:r>
          </w:p>
        </w:tc>
      </w:tr>
      <w:tr>
        <w:tc>
          <w:tcPr>
            <w:shd w:fill="EEF2F7" w:val="solid"/>
            <w:tcMar>
              <w:top w:type="dxa" w:w="60"/>
              <w:left w:type="dxa" w:w="100"/>
              <w:bottom w:type="dxa" w:w="60"/>
              <w:right w:type="dxa" w:w="100"/>
            </w:tcMar>
          </w:tcPr>
          <w:p>
            <w:pPr>
              <w:jc w:val="left"/>
            </w:pPr>
            <w:r>
              <w:rPr>
                <w:rFonts w:ascii="Calibri" w:cs="Calibri" w:eastAsia="Calibri" w:hAnsi="Calibri"/>
                <w:b/>
                <w:bCs/>
                <w:i w:val="false"/>
                <w:iCs w:val="false"/>
                <w:color w:val="1F2937"/>
                <w:sz w:val="20"/>
                <w:szCs w:val="20"/>
              </w:rPr>
              <w:t xml:space="preserve">Simulations individualisées d'impact : les avoir reçues ?</w:t>
            </w:r>
          </w:p>
        </w:tc>
        <w:tc>
          <w:tcPr>
            <w:shd w:fill="EEF2F7" w:val="solid"/>
            <w:tcMar>
              <w:top w:type="dxa" w:w="60"/>
              <w:left w:type="dxa" w:w="100"/>
              <w:bottom w:type="dxa" w:w="60"/>
              <w:right w:type="dxa" w:w="100"/>
            </w:tcMar>
          </w:tcPr>
          <w:p>
            <w:pPr>
              <w:jc w:val="left"/>
            </w:pPr>
            <w:r>
              <w:rPr>
                <w:rFonts w:ascii="Calibri" w:cs="Calibri" w:eastAsia="Calibri" w:hAnsi="Calibri"/>
                <w:b w:val="false"/>
                <w:bCs w:val="false"/>
                <w:i w:val="false"/>
                <w:iCs w:val="false"/>
                <w:color w:val="1F2937"/>
                <w:sz w:val="20"/>
                <w:szCs w:val="20"/>
              </w:rPr>
              <w:t xml:space="preserve">Chaque ESMS concerné doit recevoir une simulation de l'impact de la réforme sur son financement, transmise par l'ARS. Si non reçue, prendre contact dès maintenant avec l'ARS pour ne pas être pris au dépourvu en décembre.</w:t>
            </w:r>
          </w:p>
        </w:tc>
      </w:tr>
      <w:tr>
        <w:tc>
          <w:tcPr>
            <w:shd w:fill="FFFFFF" w:val="solid"/>
            <w:tcMar>
              <w:top w:type="dxa" w:w="60"/>
              <w:left w:type="dxa" w:w="100"/>
              <w:bottom w:type="dxa" w:w="60"/>
              <w:right w:type="dxa" w:w="100"/>
            </w:tcMar>
          </w:tcPr>
          <w:p>
            <w:pPr>
              <w:jc w:val="left"/>
            </w:pPr>
            <w:r>
              <w:rPr>
                <w:rFonts w:ascii="Calibri" w:cs="Calibri" w:eastAsia="Calibri" w:hAnsi="Calibri"/>
                <w:b/>
                <w:bCs/>
                <w:i w:val="false"/>
                <w:iCs w:val="false"/>
                <w:color w:val="1F2937"/>
                <w:sz w:val="20"/>
                <w:szCs w:val="20"/>
              </w:rPr>
              <w:t xml:space="preserve">Convergence sur 8 ans — ne pas confondre avec une bascule brutale</w:t>
            </w:r>
          </w:p>
        </w:tc>
        <w:tc>
          <w:tcPr>
            <w:shd w:fill="FFFFFF" w:val="solid"/>
            <w:tcMar>
              <w:top w:type="dxa" w:w="60"/>
              <w:left w:type="dxa" w:w="100"/>
              <w:bottom w:type="dxa" w:w="60"/>
              <w:right w:type="dxa" w:w="100"/>
            </w:tcMar>
          </w:tcPr>
          <w:p>
            <w:pPr>
              <w:jc w:val="left"/>
            </w:pPr>
            <w:r>
              <w:rPr>
                <w:rFonts w:ascii="Calibri" w:cs="Calibri" w:eastAsia="Calibri" w:hAnsi="Calibri"/>
                <w:b w:val="false"/>
                <w:bCs w:val="false"/>
                <w:i w:val="false"/>
                <w:iCs w:val="false"/>
                <w:color w:val="1F2937"/>
                <w:sz w:val="20"/>
                <w:szCs w:val="20"/>
              </w:rPr>
              <w:t xml:space="preserve">Le 01/01/2027 lance une convergence progressive sur 8 ans : le financement ne bascule pas d'un coup. Anticiper la trajectoire pluriannuelle dans les plans de financement.</w:t>
            </w:r>
          </w:p>
        </w:tc>
      </w:tr>
      <w:tr>
        <w:tc>
          <w:tcPr>
            <w:shd w:fill="EEF2F7" w:val="solid"/>
            <w:tcMar>
              <w:top w:type="dxa" w:w="60"/>
              <w:left w:type="dxa" w:w="100"/>
              <w:bottom w:type="dxa" w:w="60"/>
              <w:right w:type="dxa" w:w="100"/>
            </w:tcMar>
          </w:tcPr>
          <w:p>
            <w:pPr>
              <w:jc w:val="left"/>
            </w:pPr>
            <w:r>
              <w:rPr>
                <w:rFonts w:ascii="Calibri" w:cs="Calibri" w:eastAsia="Calibri" w:hAnsi="Calibri"/>
                <w:b/>
                <w:bCs/>
                <w:i w:val="false"/>
                <w:iCs w:val="false"/>
                <w:color w:val="1F2937"/>
                <w:sz w:val="20"/>
                <w:szCs w:val="20"/>
              </w:rPr>
              <w:t xml:space="preserve">Terminologie exacte SERAFIN-PH</w:t>
            </w:r>
          </w:p>
        </w:tc>
        <w:tc>
          <w:tcPr>
            <w:shd w:fill="EEF2F7" w:val="solid"/>
            <w:tcMar>
              <w:top w:type="dxa" w:w="60"/>
              <w:left w:type="dxa" w:w="100"/>
              <w:bottom w:type="dxa" w:w="60"/>
              <w:right w:type="dxa" w:w="100"/>
            </w:tcMar>
          </w:tcPr>
          <w:p>
            <w:pPr>
              <w:jc w:val="left"/>
            </w:pPr>
            <w:r>
              <w:rPr>
                <w:rFonts w:ascii="Calibri" w:cs="Calibri" w:eastAsia="Calibri" w:hAnsi="Calibri"/>
                <w:b w:val="false"/>
                <w:bCs w:val="false"/>
                <w:i w:val="false"/>
                <w:iCs w:val="false"/>
                <w:color w:val="1F2937"/>
                <w:sz w:val="20"/>
                <w:szCs w:val="20"/>
              </w:rPr>
              <w:t xml:space="preserve">Utiliser « dotation globale » et « dotation complémentaire » (jamais « allocation complémentaire »). En réunion partenariale ou en CPOM, la terminologie exacte est un signal de maîtrise du dossier.</w:t>
            </w:r>
          </w:p>
        </w:tc>
      </w:tr>
      <w:tr>
        <w:tc>
          <w:tcPr>
            <w:shd w:fill="FFFFFF" w:val="solid"/>
            <w:tcMar>
              <w:top w:type="dxa" w:w="60"/>
              <w:left w:type="dxa" w:w="100"/>
              <w:bottom w:type="dxa" w:w="60"/>
              <w:right w:type="dxa" w:w="100"/>
            </w:tcMar>
          </w:tcPr>
          <w:p>
            <w:pPr>
              <w:jc w:val="left"/>
            </w:pPr>
            <w:r>
              <w:rPr>
                <w:rFonts w:ascii="Calibri" w:cs="Calibri" w:eastAsia="Calibri" w:hAnsi="Calibri"/>
                <w:b/>
                <w:bCs/>
                <w:i w:val="false"/>
                <w:iCs w:val="false"/>
                <w:color w:val="1F2937"/>
                <w:sz w:val="20"/>
                <w:szCs w:val="20"/>
              </w:rPr>
              <w:t xml:space="preserve">Secteur adulte : non concerné au 01/01/2027</w:t>
            </w:r>
          </w:p>
        </w:tc>
        <w:tc>
          <w:tcPr>
            <w:shd w:fill="FFFFFF" w:val="solid"/>
            <w:tcMar>
              <w:top w:type="dxa" w:w="60"/>
              <w:left w:type="dxa" w:w="100"/>
              <w:bottom w:type="dxa" w:w="60"/>
              <w:right w:type="dxa" w:w="100"/>
            </w:tcMar>
          </w:tcPr>
          <w:p>
            <w:pPr>
              <w:jc w:val="left"/>
            </w:pPr>
            <w:r>
              <w:rPr>
                <w:rFonts w:ascii="Calibri" w:cs="Calibri" w:eastAsia="Calibri" w:hAnsi="Calibri"/>
                <w:b w:val="false"/>
                <w:bCs w:val="false"/>
                <w:i w:val="false"/>
                <w:iCs w:val="false"/>
                <w:color w:val="1F2937"/>
                <w:sz w:val="20"/>
                <w:szCs w:val="20"/>
              </w:rPr>
              <w:t xml:space="preserve">Le premier déploiement ne concerne que les ESMS du secteur enfance. Les ESMS adultes sont en phase de suivi ; anticiper néanmoins la dynamique pour les projets d'établissement en cours.</w:t>
            </w:r>
          </w:p>
        </w:tc>
      </w:tr>
    </w:tbl>
    <w:p>
      <w:pPr>
        <w:pBdr>
          <w:bottom w:val="single" w:color="1B3A6B" w:sz="4"/>
        </w:pBdr>
        <w:spacing w:after="100" w:before="100"/>
      </w:pPr>
    </w:p>
    <w:p>
      <w:pPr>
        <w:spacing w:after="120" w:before="220"/>
      </w:pPr>
      <w:r>
        <w:rPr>
          <w:rFonts w:ascii="Calibri" w:cs="Calibri" w:eastAsia="Calibri" w:hAnsi="Calibri"/>
          <w:b/>
          <w:bCs/>
          <w:i w:val="false"/>
          <w:iCs w:val="false"/>
          <w:color w:val="1B3A6B"/>
          <w:sz w:val="28"/>
          <w:szCs w:val="28"/>
        </w:rPr>
        <w:t xml:space="preserve">Agenda — Prochains rendez-vous</w:t>
      </w:r>
    </w:p>
    <w:p>
      <w:pPr>
        <w:spacing w:after="60" w:before="60"/>
        <w:jc w:val="left"/>
      </w:pPr>
      <w:r>
        <w:rPr>
          <w:rFonts w:ascii="Calibri" w:cs="Calibri" w:eastAsia="Calibri" w:hAnsi="Calibri"/>
          <w:b w:val="false"/>
          <w:bCs w:val="false"/>
          <w:i/>
          <w:iCs/>
          <w:color w:val="1F2937"/>
          <w:sz w:val="22"/>
          <w:szCs w:val="22"/>
        </w:rPr>
        <w:t xml:space="preserve">Les dates passées sont marquées [x] FAIT. Seule la date suivante est à venir :</w:t>
      </w:r>
    </w:p>
    <w:p>
      <w:pPr>
        <w:spacing w:after="60" w:before="60"/>
        <w:jc w:val="left"/>
      </w:pPr>
      <w:r>
        <w:rPr>
          <w:rFonts w:ascii="Calibri" w:cs="Calibri" w:eastAsia="Calibri" w:hAnsi="Calibri"/>
          <w:b w:val="false"/>
          <w:bCs w:val="false"/>
          <w:i w:val="false"/>
          <w:iCs w:val="false"/>
          <w:color w:val="1F2937"/>
          <w:sz w:val="22"/>
          <w:szCs w:val="22"/>
        </w:rPr>
        <w:t xml:space="preserve">[ ] 1er janvier 2027 — Déploiement opérationnel SERAFIN-PH pour les ESMS du secteur enfance. Source : 14ème comité stratégique (23/03/2026), handicap.gouv.fr.</w:t>
      </w:r>
    </w:p>
    <w:p>
      <w:pPr>
        <w:spacing w:after="60" w:before="60"/>
        <w:jc w:val="left"/>
      </w:pPr>
      <w:r>
        <w:rPr>
          <w:rFonts w:ascii="Calibri" w:cs="Calibri" w:eastAsia="Calibri" w:hAnsi="Calibri"/>
          <w:b w:val="false"/>
          <w:bCs w:val="false"/>
          <w:i w:val="false"/>
          <w:iCs w:val="false"/>
          <w:color w:val="1F2937"/>
          <w:sz w:val="22"/>
          <w:szCs w:val="22"/>
        </w:rPr>
        <w:t xml:space="preserve">[x] FAIT — 23 mars 2026 : 14ème comité stratégique — confirmation du calendrier de déploiement.</w:t>
      </w:r>
    </w:p>
    <w:p>
      <w:pPr>
        <w:spacing w:after="60" w:before="60"/>
        <w:jc w:val="left"/>
      </w:pPr>
      <w:r>
        <w:rPr>
          <w:rFonts w:ascii="Calibri" w:cs="Calibri" w:eastAsia="Calibri" w:hAnsi="Calibri"/>
          <w:b w:val="false"/>
          <w:bCs w:val="false"/>
          <w:i w:val="false"/>
          <w:iCs w:val="false"/>
          <w:color w:val="1F2937"/>
          <w:sz w:val="22"/>
          <w:szCs w:val="22"/>
        </w:rPr>
        <w:t xml:space="preserve">[x] FAIT — 30 mars 2026 : lancement du recueil PH 2026 via SIDOBA.</w:t>
      </w:r>
    </w:p>
    <w:p>
      <w:pPr>
        <w:spacing w:after="60" w:before="60"/>
        <w:jc w:val="left"/>
      </w:pPr>
      <w:r>
        <w:rPr>
          <w:rFonts w:ascii="Calibri" w:cs="Calibri" w:eastAsia="Calibri" w:hAnsi="Calibri"/>
          <w:b w:val="false"/>
          <w:bCs w:val="false"/>
          <w:i w:val="false"/>
          <w:iCs w:val="false"/>
          <w:color w:val="1F2937"/>
          <w:sz w:val="22"/>
          <w:szCs w:val="22"/>
        </w:rPr>
        <w:t xml:space="preserve">[x] FAIT — Mai 2026 : phase 2 du recueil PH 2026 (indicateurs dotation complémentaire).</w:t>
      </w:r>
    </w:p>
    <w:p>
      <w:pPr>
        <w:spacing w:after="60" w:before="60"/>
        <w:jc w:val="left"/>
      </w:pPr>
      <w:r>
        <w:rPr>
          <w:rFonts w:ascii="Calibri" w:cs="Calibri" w:eastAsia="Calibri" w:hAnsi="Calibri"/>
          <w:b w:val="false"/>
          <w:bCs w:val="false"/>
          <w:i w:val="false"/>
          <w:iCs w:val="false"/>
          <w:color w:val="1F2937"/>
          <w:sz w:val="22"/>
          <w:szCs w:val="22"/>
        </w:rPr>
        <w:t xml:space="preserve">[x] FAIT — Début juillet 2026 : clôture du recueil PH 2026 phases 1 &amp; 2.</w:t>
      </w:r>
    </w:p>
    <w:p>
      <w:pPr>
        <w:spacing w:after="60" w:before="60"/>
        <w:jc w:val="left"/>
      </w:pPr>
      <w:r>
        <w:rPr>
          <w:rFonts w:ascii="Calibri" w:cs="Calibri" w:eastAsia="Calibri" w:hAnsi="Calibri"/>
          <w:b w:val="false"/>
          <w:bCs w:val="false"/>
          <w:i w:val="false"/>
          <w:iCs w:val="false"/>
          <w:color w:val="1F2937"/>
          <w:sz w:val="22"/>
          <w:szCs w:val="22"/>
        </w:rPr>
        <w:t xml:space="preserve">→ En cours (automne 2026) : finalisation et validation des données du recueil PH 2026. Consulter l'ARS pour la date limite locale.</w:t>
      </w:r>
    </w:p>
    <w:p>
      <w:pPr>
        <w:pBdr>
          <w:bottom w:val="single" w:color="1B3A6B" w:sz="4"/>
        </w:pBdr>
        <w:spacing w:after="100" w:before="100"/>
      </w:pPr>
    </w:p>
    <w:p>
      <w:pPr>
        <w:spacing w:after="120" w:before="220"/>
      </w:pPr>
      <w:r>
        <w:rPr>
          <w:rFonts w:ascii="Calibri" w:cs="Calibri" w:eastAsia="Calibri" w:hAnsi="Calibri"/>
          <w:b/>
          <w:bCs/>
          <w:i w:val="false"/>
          <w:iCs w:val="false"/>
          <w:color w:val="1B3A6B"/>
          <w:sz w:val="28"/>
          <w:szCs w:val="28"/>
        </w:rPr>
        <w:t xml:space="preserve">Rappel SERAFIN-PH — Rôle de chaque acteur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B3A6B" w:val="solid"/>
            <w:tcMar>
              <w:top w:type="dxa" w:w="80"/>
              <w:left w:type="dxa" w:w="120"/>
              <w:bottom w:type="dxa" w:w="80"/>
              <w:right w:type="dxa" w:w="120"/>
            </w:tcMar>
          </w:tcPr>
          <w:p>
            <w:pPr>
              <w:jc w:val="center"/>
            </w:pPr>
            <w:r>
              <w:rPr>
                <w:rFonts w:ascii="Calibri" w:cs="Calibri" w:eastAsia="Calibri" w:hAnsi="Calibri"/>
                <w:b/>
                <w:bCs/>
                <w:i w:val="false"/>
                <w:iCs w:val="false"/>
                <w:color w:val="FFFFFF"/>
                <w:sz w:val="20"/>
                <w:szCs w:val="20"/>
              </w:rPr>
              <w:t xml:space="preserve">Acteur</w:t>
            </w:r>
          </w:p>
        </w:tc>
        <w:tc>
          <w:tcPr>
            <w:shd w:fill="1B3A6B" w:val="solid"/>
            <w:tcMar>
              <w:top w:type="dxa" w:w="80"/>
              <w:left w:type="dxa" w:w="120"/>
              <w:bottom w:type="dxa" w:w="80"/>
              <w:right w:type="dxa" w:w="120"/>
            </w:tcMar>
          </w:tcPr>
          <w:p>
            <w:pPr>
              <w:jc w:val="center"/>
            </w:pPr>
            <w:r>
              <w:rPr>
                <w:rFonts w:ascii="Calibri" w:cs="Calibri" w:eastAsia="Calibri" w:hAnsi="Calibri"/>
                <w:b/>
                <w:bCs/>
                <w:i w:val="false"/>
                <w:iCs w:val="false"/>
                <w:color w:val="FFFFFF"/>
                <w:sz w:val="20"/>
                <w:szCs w:val="20"/>
              </w:rPr>
              <w:t xml:space="preserve">Rôle dans SERAFIN-PH</w:t>
            </w:r>
          </w:p>
        </w:tc>
      </w:tr>
      <w:tr>
        <w:tc>
          <w:tcPr>
            <w:shd w:fill="FFFFFF" w:val="solid"/>
            <w:tcMar>
              <w:top w:type="dxa" w:w="60"/>
              <w:left w:type="dxa" w:w="100"/>
              <w:bottom w:type="dxa" w:w="60"/>
              <w:right w:type="dxa" w:w="100"/>
            </w:tcMar>
          </w:tcPr>
          <w:p>
            <w:pPr>
              <w:jc w:val="left"/>
            </w:pPr>
            <w:r>
              <w:rPr>
                <w:rFonts w:ascii="Calibri" w:cs="Calibri" w:eastAsia="Calibri" w:hAnsi="Calibri"/>
                <w:b/>
                <w:bCs/>
                <w:i w:val="false"/>
                <w:iCs w:val="false"/>
                <w:color w:val="1F2937"/>
                <w:sz w:val="20"/>
                <w:szCs w:val="20"/>
              </w:rPr>
              <w:t xml:space="preserve">DGCS
(Direction générale de la cohésion sociale)</w:t>
            </w:r>
          </w:p>
        </w:tc>
        <w:tc>
          <w:tcPr>
            <w:shd w:fill="FFFFFF" w:val="solid"/>
            <w:tcMar>
              <w:top w:type="dxa" w:w="60"/>
              <w:left w:type="dxa" w:w="100"/>
              <w:bottom w:type="dxa" w:w="60"/>
              <w:right w:type="dxa" w:w="100"/>
            </w:tcMar>
          </w:tcPr>
          <w:p>
            <w:pPr>
              <w:jc w:val="left"/>
            </w:pPr>
            <w:r>
              <w:rPr>
                <w:rFonts w:ascii="Calibri" w:cs="Calibri" w:eastAsia="Calibri" w:hAnsi="Calibri"/>
                <w:b w:val="false"/>
                <w:bCs w:val="false"/>
                <w:i w:val="false"/>
                <w:iCs w:val="false"/>
                <w:color w:val="1F2937"/>
                <w:sz w:val="20"/>
                <w:szCs w:val="20"/>
              </w:rPr>
              <w:t xml:space="preserve">Co-pilote de la réforme avec la CNSA. Définit le cadre réglementaire et les orientations politiques.</w:t>
            </w:r>
          </w:p>
        </w:tc>
      </w:tr>
      <w:tr>
        <w:tc>
          <w:tcPr>
            <w:shd w:fill="EEF2F7" w:val="solid"/>
            <w:tcMar>
              <w:top w:type="dxa" w:w="60"/>
              <w:left w:type="dxa" w:w="100"/>
              <w:bottom w:type="dxa" w:w="60"/>
              <w:right w:type="dxa" w:w="100"/>
            </w:tcMar>
          </w:tcPr>
          <w:p>
            <w:pPr>
              <w:jc w:val="left"/>
            </w:pPr>
            <w:r>
              <w:rPr>
                <w:rFonts w:ascii="Calibri" w:cs="Calibri" w:eastAsia="Calibri" w:hAnsi="Calibri"/>
                <w:b/>
                <w:bCs/>
                <w:i w:val="false"/>
                <w:iCs w:val="false"/>
                <w:color w:val="1F2937"/>
                <w:sz w:val="20"/>
                <w:szCs w:val="20"/>
              </w:rPr>
              <w:t xml:space="preserve">CNSA
(Caisse nationale de solidarité pour l'autonomie)</w:t>
            </w:r>
          </w:p>
        </w:tc>
        <w:tc>
          <w:tcPr>
            <w:shd w:fill="EEF2F7" w:val="solid"/>
            <w:tcMar>
              <w:top w:type="dxa" w:w="60"/>
              <w:left w:type="dxa" w:w="100"/>
              <w:bottom w:type="dxa" w:w="60"/>
              <w:right w:type="dxa" w:w="100"/>
            </w:tcMar>
          </w:tcPr>
          <w:p>
            <w:pPr>
              <w:jc w:val="left"/>
            </w:pPr>
            <w:r>
              <w:rPr>
                <w:rFonts w:ascii="Calibri" w:cs="Calibri" w:eastAsia="Calibri" w:hAnsi="Calibri"/>
                <w:b w:val="false"/>
                <w:bCs w:val="false"/>
                <w:i w:val="false"/>
                <w:iCs w:val="false"/>
                <w:color w:val="1F2937"/>
                <w:sz w:val="20"/>
                <w:szCs w:val="20"/>
              </w:rPr>
              <w:t xml:space="preserve">Co-pilote technique. Développe le modèle tarifaire, pilote SIDOBA (application de collecte des données), produit les guides et outils pour les ARS et ESMS.</w:t>
            </w:r>
          </w:p>
        </w:tc>
      </w:tr>
      <w:tr>
        <w:tc>
          <w:tcPr>
            <w:shd w:fill="FFFFFF" w:val="solid"/>
            <w:tcMar>
              <w:top w:type="dxa" w:w="60"/>
              <w:left w:type="dxa" w:w="100"/>
              <w:bottom w:type="dxa" w:w="60"/>
              <w:right w:type="dxa" w:w="100"/>
            </w:tcMar>
          </w:tcPr>
          <w:p>
            <w:pPr>
              <w:jc w:val="left"/>
            </w:pPr>
            <w:r>
              <w:rPr>
                <w:rFonts w:ascii="Calibri" w:cs="Calibri" w:eastAsia="Calibri" w:hAnsi="Calibri"/>
                <w:b/>
                <w:bCs/>
                <w:i w:val="false"/>
                <w:iCs w:val="false"/>
                <w:color w:val="1F2937"/>
                <w:sz w:val="20"/>
                <w:szCs w:val="20"/>
              </w:rPr>
              <w:t xml:space="preserve">ATIH
(Agence technique de l'information sur l'hospitalisation)</w:t>
            </w:r>
          </w:p>
        </w:tc>
        <w:tc>
          <w:tcPr>
            <w:shd w:fill="FFFFFF" w:val="solid"/>
            <w:tcMar>
              <w:top w:type="dxa" w:w="60"/>
              <w:left w:type="dxa" w:w="100"/>
              <w:bottom w:type="dxa" w:w="60"/>
              <w:right w:type="dxa" w:w="100"/>
            </w:tcMar>
          </w:tcPr>
          <w:p>
            <w:pPr>
              <w:jc w:val="left"/>
            </w:pPr>
            <w:r>
              <w:rPr>
                <w:rFonts w:ascii="Calibri" w:cs="Calibri" w:eastAsia="Calibri" w:hAnsi="Calibri"/>
                <w:b w:val="false"/>
                <w:bCs w:val="false"/>
                <w:i w:val="false"/>
                <w:iCs w:val="false"/>
                <w:color w:val="1F2937"/>
                <w:sz w:val="20"/>
                <w:szCs w:val="20"/>
              </w:rPr>
              <w:t xml:space="preserve">Opérateur du recueil des données (recueil national PH). Met à disposition les outils informatiques de saisie et de transmission (RAMSECE-PH, e-PH).</w:t>
            </w:r>
          </w:p>
        </w:tc>
      </w:tr>
      <w:tr>
        <w:tc>
          <w:tcPr>
            <w:shd w:fill="EEF2F7" w:val="solid"/>
            <w:tcMar>
              <w:top w:type="dxa" w:w="60"/>
              <w:left w:type="dxa" w:w="100"/>
              <w:bottom w:type="dxa" w:w="60"/>
              <w:right w:type="dxa" w:w="100"/>
            </w:tcMar>
          </w:tcPr>
          <w:p>
            <w:pPr>
              <w:jc w:val="left"/>
            </w:pPr>
            <w:r>
              <w:rPr>
                <w:rFonts w:ascii="Calibri" w:cs="Calibri" w:eastAsia="Calibri" w:hAnsi="Calibri"/>
                <w:b/>
                <w:bCs/>
                <w:i w:val="false"/>
                <w:iCs w:val="false"/>
                <w:color w:val="1F2937"/>
                <w:sz w:val="20"/>
                <w:szCs w:val="20"/>
              </w:rPr>
              <w:t xml:space="preserve">ARS
(Agences régionales de santé)</w:t>
            </w:r>
          </w:p>
        </w:tc>
        <w:tc>
          <w:tcPr>
            <w:shd w:fill="EEF2F7" w:val="solid"/>
            <w:tcMar>
              <w:top w:type="dxa" w:w="60"/>
              <w:left w:type="dxa" w:w="100"/>
              <w:bottom w:type="dxa" w:w="60"/>
              <w:right w:type="dxa" w:w="100"/>
            </w:tcMar>
          </w:tcPr>
          <w:p>
            <w:pPr>
              <w:jc w:val="left"/>
            </w:pPr>
            <w:r>
              <w:rPr>
                <w:rFonts w:ascii="Calibri" w:cs="Calibri" w:eastAsia="Calibri" w:hAnsi="Calibri"/>
                <w:b w:val="false"/>
                <w:bCs w:val="false"/>
                <w:i w:val="false"/>
                <w:iCs w:val="false"/>
                <w:color w:val="1F2937"/>
                <w:sz w:val="20"/>
                <w:szCs w:val="20"/>
              </w:rPr>
              <w:t xml:space="preserve">Relais territorial de la réforme : transmettent les simulations individualisées aux ESMS, accompagnent les établissements dans la transition tarifaire, valident les données régionales.</w:t>
            </w:r>
          </w:p>
        </w:tc>
      </w:tr>
      <w:tr>
        <w:tc>
          <w:tcPr>
            <w:shd w:fill="FFFFFF" w:val="solid"/>
            <w:tcMar>
              <w:top w:type="dxa" w:w="60"/>
              <w:left w:type="dxa" w:w="100"/>
              <w:bottom w:type="dxa" w:w="60"/>
              <w:right w:type="dxa" w:w="100"/>
            </w:tcMar>
          </w:tcPr>
          <w:p>
            <w:pPr>
              <w:jc w:val="left"/>
            </w:pPr>
            <w:r>
              <w:rPr>
                <w:rFonts w:ascii="Calibri" w:cs="Calibri" w:eastAsia="Calibri" w:hAnsi="Calibri"/>
                <w:b/>
                <w:bCs/>
                <w:i w:val="false"/>
                <w:iCs w:val="false"/>
                <w:color w:val="1F2937"/>
                <w:sz w:val="20"/>
                <w:szCs w:val="20"/>
              </w:rPr>
              <w:t xml:space="preserve">Comité stratégique</w:t>
            </w:r>
          </w:p>
        </w:tc>
        <w:tc>
          <w:tcPr>
            <w:shd w:fill="FFFFFF" w:val="solid"/>
            <w:tcMar>
              <w:top w:type="dxa" w:w="60"/>
              <w:left w:type="dxa" w:w="100"/>
              <w:bottom w:type="dxa" w:w="60"/>
              <w:right w:type="dxa" w:w="100"/>
            </w:tcMar>
          </w:tcPr>
          <w:p>
            <w:pPr>
              <w:jc w:val="left"/>
            </w:pPr>
            <w:r>
              <w:rPr>
                <w:rFonts w:ascii="Calibri" w:cs="Calibri" w:eastAsia="Calibri" w:hAnsi="Calibri"/>
                <w:b w:val="false"/>
                <w:bCs w:val="false"/>
                <w:i w:val="false"/>
                <w:iCs w:val="false"/>
                <w:color w:val="1F2937"/>
                <w:sz w:val="20"/>
                <w:szCs w:val="20"/>
              </w:rPr>
              <w:t xml:space="preserve">Présidé par le ou la ministre chargé(e) de l'Autonomie et des Personnes handicapées. Valide les grandes orientations et le calendrier de déploiement. Réunit en 2026 : Camille Galliard-Minier (23/03/2026).</w:t>
            </w:r>
          </w:p>
        </w:tc>
      </w:tr>
    </w:tbl>
    <w:p>
      <w:pPr>
        <w:pBdr>
          <w:bottom w:val="single" w:color="1B3A6B" w:sz="4"/>
        </w:pBdr>
        <w:spacing w:after="100" w:before="100"/>
      </w:pPr>
    </w:p>
    <w:p>
      <w:pPr>
        <w:spacing w:after="0" w:before="120"/>
        <w:jc w:val="center"/>
      </w:pPr>
      <w:r>
        <w:rPr>
          <w:rFonts w:ascii="Calibri" w:cs="Calibri" w:eastAsia="Calibri" w:hAnsi="Calibri"/>
          <w:b w:val="false"/>
          <w:bCs w:val="false"/>
          <w:i/>
          <w:iCs/>
          <w:color w:val="6B7280"/>
          <w:sz w:val="18"/>
          <w:szCs w:val="18"/>
        </w:rPr>
        <w:t xml:space="preserve">Produit le 16 septembre 2026 — Fenêtre de veille : 09/09/2026 – 16/09/2026 — </w:t>
      </w:r>
      <w:r>
        <w:rPr>
          <w:rFonts w:ascii="Calibri" w:cs="Calibri" w:eastAsia="Calibri" w:hAnsi="Calibri"/>
          <w:b w:val="false"/>
          <w:bCs w:val="false"/>
          <w:i/>
          <w:iCs/>
          <w:color w:val="6B7280"/>
          <w:sz w:val="18"/>
          <w:szCs w:val="18"/>
        </w:rPr>
        <w:t xml:space="preserve">Semaine creuse (aucune publication officielle dans la fenêtre). </w:t>
      </w:r>
      <w:r>
        <w:rPr>
          <w:rFonts w:ascii="Calibri" w:cs="Calibri" w:eastAsia="Calibri" w:hAnsi="Calibri"/>
          <w:b w:val="false"/>
          <w:bCs w:val="false"/>
          <w:i/>
          <w:iCs/>
          <w:color w:val="6B7280"/>
          <w:sz w:val="18"/>
          <w:szCs w:val="18"/>
        </w:rPr>
        <w:t xml:space="preserve">Sources : 4/4 ✅ consultées (toutes HTTP 200). Liens hypertextes actifs dans le document.</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dhwv12s_ivhtrfifn6cr" Type="http://schemas.openxmlformats.org/officeDocument/2006/relationships/hyperlink" Target="https://handicap.gouv.fr/reforme-tarifaire-des-esms-serafin-ph-14e-reunion-du-comite-strategique" TargetMode="External"/><Relationship Id="rId47ko0hug4pxaxlq4ik6un" Type="http://schemas.openxmlformats.org/officeDocument/2006/relationships/hyperlink" Target="https://www.cnsa.fr/actualites/serafin-ph-preparation-du-recueil-dinformations-ph-2026-en-vue-du-deploiement-du-futur" TargetMode="External"/><Relationship Id="rId2jdphkl_t_ke24k0zns18" Type="http://schemas.openxmlformats.org/officeDocument/2006/relationships/hyperlink" Target="https://www.atih.sante.fr/recueil-national-ph-2025" TargetMode="External"/><Relationship Id="rIdcr1pf_gt6v0deistdi1sv" Type="http://schemas.openxmlformats.org/officeDocument/2006/relationships/hyperlink" Target="https://www.cnsa.fr/budget-et-financement/serafin-PH" TargetMode="External"/><Relationship Id="rIdozowbf0_2l6laharm6lcb" Type="http://schemas.openxmlformats.org/officeDocument/2006/relationships/hyperlink" Target="https://handicap.gouv.fr/reforme-tarifaire-des-esms-serafin-ph-14e-reunion-du-comite-strategique" TargetMode="External"/><Relationship Id="rIdf1xpfqpok9y5ojerbdbnp" Type="http://schemas.openxmlformats.org/officeDocument/2006/relationships/hyperlink" Target="https://www.cnsa.fr/actualites/serafin-ph-preparation-du-recueil-dinformations-ph-2026-en-vue-du-deploiement-du-futur" TargetMode="External"/><Relationship Id="rIdrhfn2p8ntq2ghzpz8m6zd" Type="http://schemas.openxmlformats.org/officeDocument/2006/relationships/hyperlink" Target="https://www.cnsa.fr/budget-et-financement/serafin-PH" TargetMode="External"/><Relationship Id="rId9c1w4kivhftqujbaa1e0g" Type="http://schemas.openxmlformats.org/officeDocument/2006/relationships/hyperlink" Target="https://www.atih.sante.fr/recueil-national-ph-2025"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2026-09-16T06:09:25.560Z</dcterms:created>
  <dcterms:modified xsi:type="dcterms:W3CDTF">2026-09-16T06:09:25.579Z</dcterms:modified>
</cp:coreProperties>
</file>

<file path=docProps/custom.xml><?xml version="1.0" encoding="utf-8"?>
<Properties xmlns="http://schemas.openxmlformats.org/officeDocument/2006/custom-properties" xmlns:vt="http://schemas.openxmlformats.org/officeDocument/2006/docPropsVTypes"/>
</file>