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4 septembre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Fenêtre couverte : 28 août → 4 septembre 2026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🟡  Niveau d'alerte : À surveiller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Révision de la note précédente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Note précédente : 29/08/2026. Résumé de fiche consulté — aucune inexactitude identifiée. La note du 29/08 avait elle-même corrigé cinq points de l'édition du 19/07 (date du CADA, lignes directrices CEPD, référence du règlement 2026/1744, périmètre art. 50). Aucune correction à apporter à cette édition.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Conseil de l'UE (28/08/2026) : document de travail CM 3635/26 sur les compétences et aptitudes pour l'IA — en lien direct avec l'obligation de littératie IA (art. 4, en vigueur depuis le 2/08/2026).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IAPP (28/08–03/09/2026) : quatre articles publiés dans la fenêtre — gouvernance IA en entreprise, chatbots médicaux et alignement RGPD/AI Act, IA et droits d'auteur dans les secteurs créatifs, CRA/NIS2 et notifications d'incidents.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CNIL : aucune publication dans la fenêtre stricte 28/08–04/09. Dernière publication : 26/08 (outil de traçabilité des modèles open source, hors fenêtre).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Autorités nationales françaises : désignation toujours non finalisée au 04/09/2026. Le DPO reste l'interlocuteur pratique pour un ESSMS.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Prochaine échéance critique : 2 décembre 2026 — fin de la période transitoire (art. 50 §2) pour les systèmes génératifs mis sur le marché avant le 2/08/2026.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Source : AI Act Service Desk — chronologie d'implémentation, ai-act-service-desk.ec.europa.eu (liée dans Sources du jour), consultée le 04/09/2026.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2 août 2026 (PASSÉ) — Obligations de transparence (art. 50) + littératie IA (art. 4) en vigueur. Régime de sanctions ACTIF : jusqu'à 35 M€ ou 7 % du CA mondial pour les pratiques interdites ; 15 M€ ou 3 % pour transparence et GPAI.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⏳ 2 décembre 2026 (J-89) — Fin de la période transitoire art. 50 §2 pour les systèmes génératifs commercialisés avant le 2/08/2026. Interdiction des hypertrucages sexuels non consentis et du CSAM.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2027 — Au moins 1 bac à sable IA opérationnel par État membre.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2027 — Application aux systèmes à haut risque (Annexe III).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2028 — Application aux systèmes intégrés dans des produits réglementés (Annexe I).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Texte de référence : règlement (UE) 2024/1689 tel que modifié par le règlement (UE) 2026/1744 du 8 juillet 2026 (AI Omnibus), publié au JOUE le 24/07/2026, en vigueur le 27/07/2026.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Commission européenne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Page consultée : digital-strategy.ec.europa.eu/en/policies/regulatory-framework-ai (HTTP 200, màj 03/08/2026). Aucune publication nouvelle dans la fenêtre. Page de référence statique pour la présentation du règlement et de l'AI Office.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Conseil de l'Union européenne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28/08/2026 — </w:t>
      </w:r>
      <w:hyperlink w:history="1" r:id="rIdfzfyfgpyfi5rdcmtopy9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CM 3635/26 — Draft Council Conclusions on skills and competences for AI (PDF)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Document de travail sur les compétences et aptitudes nécessaires à une utilisation responsable de l'IA (entreprises, secteur public, individus). En lien direct avec l'art. 4 AI Act (obligation de littératie IA des déployeurs, en vigueur depuis le 2/08/2026). [⚠️ Page principale consilium.europa.eu inaccessible (403) — PDF vérifié accessible via data.consilium.europa.eu (HTTP 200)]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AI Act Service Desk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Page de référence consultée : </w:t>
      </w:r>
      <w:hyperlink w:history="1" r:id="rIdwjc3wjoc__z-szry6guh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Timeline d'implémentation de l'AI Act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Calendrier officiel confirmé (voir section Échéances).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 (IAPP)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Source : iapp.org/news, consulté le 04/09/2026 (HTTP 200). Quatre articles dans la fenêtre. ⚠️ Les articles marqués [MEMBER] requièrent un abonnement IAPP : titre, date et thème disponibles — corps non lu. Les articles [LIBRE] sont accessibles sans authentification (isAccessibleForFree: true vérifié) mais leur corps n'a pas été reproduit dans cette note.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02/09/2026 [LIBRE] — </w:t>
      </w:r>
      <w:hyperlink w:history="1" r:id="rIdahwztqbbvr2sw5ynilqc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The CISO's New Privacy Mandate in Enterprise AI Governance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Great Gu. Thème (d'après le titre) : le repositionnement du RSSI (CISO) comme acteur central de la conformité IA en entreprise. Angle pertinent pour les directions d'ESSMS articulant DPO et référent numérique.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02/09/2026 [MEMBER] — </w:t>
      </w:r>
      <w:hyperlink w:history="1" r:id="rIdi0wtuw-izotboifwczfs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Patient Rights and AI Medical Chatbots: GDPR and EU AI Act Alignment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Xiting Li. Thème (d'après le titre) : alignement RGPD/AI Act pour les chatbots IA médicaux. Directement pertinent pour les ESSMS envisageant des outils conversationnels. [Corps non accessible — titre et thème uniquement]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03/09/2026 [LIBRE] — </w:t>
      </w:r>
      <w:hyperlink w:history="1" r:id="rIdqkucxjcckbb1qvxllsye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 View from Brussels: Creative and AI, a Case of David and Goliath?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Isabelle Roccia. Thème (d'après le titre) : tension entre IA générative et secteurs créatifs (droits d'auteur, propriété intellectuelle). Impact indirect pour les ESSMS produisant des contenus de formation avec des outils IA.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28/08/2026 [MEMBER] — </w:t>
      </w:r>
      <w:hyperlink w:history="1" r:id="rId7w9zosnahlpatm7qqvkv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Four Clocks, One Incident: What the CRA Adds to EU Incident Notifications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Georgia Chatzitheodorou. Thème (d'après le titre) : articulation des quatre régimes de notification d'incidents (CRA, NIS2, RGPD, DORA). Signal à surveiller pour les établissements utilisant des systèmes numériques connectés. [Corps non accessible — titre et thème uniquement]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(CNIL/RGPD)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Aucune publication CNIL dans la fenêtre stricte 28/08–04/09/2026. Deux rappels hors fenêtre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26/08/2026 (hors fenêtre de 2 jours) — CNIL : mise à jour de l'outil de traçabilité des modèles IA publiés en source ouverte (démonstrateur de généalogie des modèles). Utile pour documenter l'origine des outils IA utilisés dans l'établissement.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17/08/2026 (hors fenêtre) — Mise à jour de la page </w:t>
      </w:r>
      <w:hyperlink w:history="1" r:id="rIdbzpux9svvt14mei_8z0w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Q&amp;R sur l'entrée en vigueur du règlement IA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: articulation RGPD / AI Act clarifiée — les deux règlements s'appliquent simultanément pour les systèmes IA à haut risque traitant des données personnelles ; le déployeur peut s'appuyer sur l'AIPD du fournisseur (art. 26 et 27).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Autorités nationales françaises : désignation toujours non finalisée au 04/09/2026 (volet numérique du DDADUE en navette parlementaire). Cette absence ne suspend aucune obligation. L'interlocuteur de fait pour un ESSMS reste la CNIL via son DPO.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Littératie IA (art. 4) — action requise :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Obligation en vigueur depuis le 2/08/2026. Le CM 3635/26 du Conseil (28/08) confirme que les institutions investissent dans des cadres de compétences IA. Pour les 12 professionnels des deux équipes : tracer une formation courte (contenu, date, émargement). Un module intégré au plan de formation annuel suffit, mais la trace doit exister avant toute évaluation.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Chatbots IA et données médico-sociales :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L'article IAPP du 02/09 (thème : RGPD/AI Act pour chatbots médicaux) rappelle la pertinence de ce périmètre. Pour un ESSMS : recenser tout outil conversationnel ou d'assistance à la rédaction utilisé dans l'accompagnement ou la communication avec les familles. Ces outils pourraient relever de la catégorie haut risque (Annexe III §5 — services essentiels), applicable au 2/12/2027.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Transparence (art. 50) — rappel opérationnel :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L'obligation de divulgation vise trois cas précis : hypertrucages, textes d'intérêt public publiés sans revue humaine, et reconnaissance des émotions/catégorisation biométrique. Un compte-rendu ou une évaluation rédigés avec l'aide d'une IA puis relus et validés par un professionnel n'entrent pas dans ce champ. En revanche : une page d'actualités alimentée automatiquement ou un chatbot familles, oui.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Gouvernance numérique — DPO et référent IA :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L'émergence du rôle de gouvernance IA (CISO) dans les organisations illustre une tendance à anticiper dans les ESSMS. Le DPO existant peut absorber ce rôle. À intégrer dans le projet d'établissement et dans la préparation de l'évaluation HAS (critères de gouvernance du numérique).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Production de contenus avec outils IA (droits d'auteur) : </w:t>
      </w: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L'article IAPP du 03/09 (IA et secteurs créatifs) rappelle les enjeux de propriété intellectuelle. Pour un ESSMS produisant des supports de formation ou de communication avec des outils IA : vérifier la politique d'attribution du prestataire utilisé.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✅ </w:t>
      </w:r>
      <w:hyperlink w:history="1" r:id="rId8sifpzajnupwuimg0z8i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Timeline d'implémentation de l'AI Act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Consulté le 04/09/2026 — timeline reprise dans section Échéances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✅ </w:t>
      </w:r>
      <w:hyperlink w:history="1" r:id="rIdeiki_rfih0jixgwlxhe3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 — iapp.org/news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Consulté le 04/09/2026 — 4 articles cités dans Analyses &amp; gouvernance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✅ </w:t>
      </w:r>
      <w:hyperlink w:history="1" r:id="rIdokmciesahndhfjlfxyy9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Q&amp;R sur l'entrée en vigueur du règlement européen sur l'IA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Mise à jour 17/08/2026 — repris dans Perspective française (hors fenêtre)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Consultée, sans élément nouveau dans la fenêtre </w:t>
      </w:r>
      <w:hyperlink w:history="1" r:id="rIddsnnayu8h6bndwgqumh5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européenne — Cadre réglementaire IA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Dernière màj : 03/08/2026 — page statique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Consultée, sans élément nouveau dans la fenêtre </w:t>
      </w:r>
      <w:hyperlink w:history="1" r:id="rIdovwjuugw05mwgapxvpse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Page Intelligence artificielle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Dernière publication : 26/08/2026 (hors fenêtre stricte)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⚠️ (PDF accessible) </w:t>
      </w:r>
      <w:hyperlink w:history="1" r:id="rIdrwvohnafpaw7ndfr_jxh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Conseil de l'UE — Communiqués de presse / CM 3635/26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Page principale 403 — CM 3635/26 cité via WebSearch + PDF data.consilium.europa.eu (HTTP 200)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⛔ </w:t>
      </w:r>
      <w:hyperlink w:history="1" r:id="rIdfli2026">
        <w:r>
          <w:rPr>
            <w:rFonts w:ascii="Calibri" w:cs="Calibri" w:eastAsia="Calibri" w:hAnsi="Calibri"/>
            <w:b w:val="false"/>
            <w:bCs w:val="false"/>
            <w:sz w:val="22"/>
            <w:szCs w:val="22"/>
            <w:color w:val="1155CC"/>
            <w:u w:val="single"/>
          </w:rPr>
          <w:t xml:space="preserve">artificialintelligenceact.eu (Future of Life Institute)</w:t>
        </w:r>
      </w:hyperlink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 — non extraite par l'agent du job (rendu JavaScript) ; répond 200 et 16 376 caractères utiles à un navigateur le 12/09/2026 — « source morte, ne plus tenter » retiré et lien ajouté le 12/09/2026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Décompte : 3 ✅ (exploitées avec contenu repris dans le corps) + 2 consultées sans nouveauté + 1 ⚠️ (403, données via WebSearch + PDF) + 1 ⛔ — sur 7 sources documentaires tentées. EUR-Lex non directement interrogée dans cette exécution — les références réglementaires (règl. 2024/1689 et 2026/1744) proviennent des sources ✅ ci-dessus.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2026 (J-89) — Fin période transitoire art. 50 §2 : vérifier la conformité de tout outil IA générative utilisé en production avant le 2/08/2026.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Désignation officielle des autorités nationales françaises — suivre les annonces du Gouvernement et de la CNIL (volet numérique du DDADUE).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Lignes directrices de la Commission européenne sur l'art. 50 — attendues avant le 2/12/2026, aucune publication dans la fenêtre.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Article IAPP du 02/09 sur les chatbots médicaux (MEMBER) : à lire intégralement si accès IAPP disponible.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Guide HAS / CNIL "Accompagner le bon usage des systèmes d'intelligence artificielle en contexte de soins" (février 2026) : ressource sectorielle à mobiliser pour l'évaluation HAS (critères gouvernance numérique).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B3A6B"/>
          <w:sz w:val="22"/>
          <w:szCs w:val="22"/>
        </w:rPr>
        <w:t xml:space="preserve">Correction apportée le 4 septembre 2026 après relecture. La formulation d'origine est conservée ci-dessous.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« un chatbot famililles » —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section « Impacts pour les ESSMS », rappel opérationnel sur l'article 50. Coquille de frappe, devenue « un chatbot familles ». Aucun autre point n'a été repris : la chronologie réglementaire a été vérifiée ligne à ligne sur l'AI Act Service Desk — y compris l'échéance du 2 décembre 2026 rattachée à l'article 50(2) — et les dix URL citées répondent toutes 200.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Job ai-act-veille | Claude Code — Veille hebdomadaire automatisée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 ⛔ nommée sans lien, et déclarée morte — 12/09/2026. La rubrique Sources du jour listait « artificialintelligenceact.eu (Future of Life Institute) — Source morte — rendu JavaScript côté client, non extractible en headless (constaté juillet et août 2026, ne plus tenter) », sans lien. Le site répond 200 et 16 376 caractères utiles à un navigateur (mesure du 12/09/2026, déjà faite pour l'édition du 11/09) : c'est l'agent du job qu'il refuse. Lien posé, « ne plus tenter » retiré ; le statut ⛔ reste, la source n'a pas été lue ce jour-là. Même correction que l'édition du 11/09, règle 10 du prompt. Dans le corps, la ligne « Source : AI Act Service Desk, consulté le 04/09/2026 » sous les échéances nommait sa source sans domaine : elle porte désormais le domaine de la page liée dans Sources du jour (passe A4 du contrôle).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zfyfgpyfi5rdcmtopy9h" Type="http://schemas.openxmlformats.org/officeDocument/2006/relationships/hyperlink" Target="https://data.consilium.europa.eu/doc/document/CM-3635-2026-INIT/en/pdf" TargetMode="External"/><Relationship Id="rIdwjc3wjoc__z-szry6guh2" Type="http://schemas.openxmlformats.org/officeDocument/2006/relationships/hyperlink" Target="https://ai-act-service-desk.ec.europa.eu/en/ai-act/timeline/timeline-implementation-eu-ai-act" TargetMode="External"/><Relationship Id="rIdahwztqbbvr2sw5ynilqcr" Type="http://schemas.openxmlformats.org/officeDocument/2006/relationships/hyperlink" Target="https://iapp.org/news/a/the-ciso-s-new-privacy-mandate-in-enterprise-ai-governance" TargetMode="External"/><Relationship Id="rIdi0wtuw-izotboifwczfsa" Type="http://schemas.openxmlformats.org/officeDocument/2006/relationships/hyperlink" Target="https://iapp.org/news/a/patient-rights-and-ai-medical-chatbots-alignment-between-the-gdpr-and-eu-ai-act" TargetMode="External"/><Relationship Id="rIdqkucxjcckbb1qvxllsyeg" Type="http://schemas.openxmlformats.org/officeDocument/2006/relationships/hyperlink" Target="https://iapp.org/news/a/a-view-from-brussels-creative-and-ai-a-case-of-david-and-goliath" TargetMode="External"/><Relationship Id="rId7w9zosnahlpatm7qqvkv-" Type="http://schemas.openxmlformats.org/officeDocument/2006/relationships/hyperlink" Target="https://iapp.org/news/a/four-clocks-one-incident-what-the-cra-adds-to-eu-incident-notifications" TargetMode="External"/><Relationship Id="rIdbzpux9svvt14mei_8z0w7" Type="http://schemas.openxmlformats.org/officeDocument/2006/relationships/hyperlink" Target="https://www.cnil.fr/fr/entree-en-vigueur-du-reglement-europeen-sur-lia-les-premieres-questions-reponses-de-la-cnil" TargetMode="External"/><Relationship Id="rId8sifpzajnupwuimg0z8it" Type="http://schemas.openxmlformats.org/officeDocument/2006/relationships/hyperlink" Target="https://ai-act-service-desk.ec.europa.eu/en/ai-act/timeline/timeline-implementation-eu-ai-act" TargetMode="External"/><Relationship Id="rIdeiki_rfih0jixgwlxhe3o" Type="http://schemas.openxmlformats.org/officeDocument/2006/relationships/hyperlink" Target="https://iapp.org/news/" TargetMode="External"/><Relationship Id="rIdokmciesahndhfjlfxyy9e" Type="http://schemas.openxmlformats.org/officeDocument/2006/relationships/hyperlink" Target="https://www.cnil.fr/fr/entree-en-vigueur-du-reglement-europeen-sur-lia-les-premieres-questions-reponses-de-la-cnil" TargetMode="External"/><Relationship Id="rIddsnnayu8h6bndwgqumh5-" Type="http://schemas.openxmlformats.org/officeDocument/2006/relationships/hyperlink" Target="https://digital-strategy.ec.europa.eu/en/policies/regulatory-framework-ai" TargetMode="External"/><Relationship Id="rIdovwjuugw05mwgapxvpsey" Type="http://schemas.openxmlformats.org/officeDocument/2006/relationships/hyperlink" Target="https://www.cnil.fr/fr/intelligence-artificielle" TargetMode="External"/><Relationship Id="rIdrwvohnafpaw7ndfr_jxhw" Type="http://schemas.openxmlformats.org/officeDocument/2006/relationships/hyperlink" Target="https://data.consilium.europa.eu/doc/document/CM-3635-2026-INIT/en/pdf" TargetMode="External"/><Relationship Id="rId20" Type="http://schemas.openxmlformats.org/officeDocument/2006/relationships/fontTable" Target="fontTable.xml"/><Relationship Id="rIdfli2026" Type="http://schemas.openxmlformats.org/officeDocument/2006/relationships/hyperlink" Target="https://artificialintelligenceact.eu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2026-09-04T07:13:22.093Z</dcterms:created>
  <dcterms:modified xsi:type="dcterms:W3CDTF">2026-09-04T07:13:22.112Z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