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Times New Roman" w:cs="Times New Roman" w:eastAsia="Times New Roman" w:hAnsi="Times New Roman"/>
          <w:b/>
          <w:bCs/>
          <w:color w:val="1B3A6B"/>
          <w:sz w:val="52"/>
          <w:szCs w:val="52"/>
        </w:rPr>
        <w:t xml:space="preserve">Leçon Dzogchen n°12 — Les quatre visions du tögal</w:t>
      </w:r>
    </w:p>
    <w:p>
      <w:pPr>
        <w:spacing w:after="80"/>
        <w:jc w:val="center"/>
      </w:pPr>
      <w:r>
        <w:rPr>
          <w:rFonts w:ascii="Times New Roman" w:cs="Times New Roman" w:eastAsia="Times New Roman" w:hAnsi="Times New Roman"/>
          <w:i/>
          <w:iCs/>
          <w:color w:val="6B7280"/>
          <w:sz w:val="20"/>
          <w:szCs w:val="20"/>
        </w:rPr>
        <w:t xml:space="preserve">18 août 2026  ·  Leçon 12 / 20</w:t>
      </w:r>
    </w:p>
    <w:p>
      <w:pPr>
        <w:pBdr>
          <w:bottom w:val="single" w:color="1B3A6B" w:sz="4" w:space="1"/>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color w:val="1F2937"/>
          <w:sz w:val="22"/>
          <w:szCs w:val="22"/>
        </w:rPr>
        <w:t xml:space="preserve">À l'issue de cette leçon, tu seras capable de :</w:t>
      </w:r>
    </w:p>
    <w:p>
      <w:pPr>
        <w:pStyle w:val="ListParagraph"/>
        <w:numPr>
          <w:ilvl w:val="0"/>
          <w:numId w:val="1"/>
        </w:numPr>
        <w:spacing w:after="80"/>
      </w:pPr>
      <w:r>
        <w:rPr>
          <w:rFonts w:ascii="Times New Roman" w:cs="Times New Roman" w:eastAsia="Times New Roman" w:hAnsi="Times New Roman"/>
          <w:color w:val="1F2937"/>
          <w:sz w:val="22"/>
          <w:szCs w:val="22"/>
        </w:rPr>
        <w:t xml:space="preserve">nommer et ordonner les quatre visions du tögal dans leur tibétain et leur signification pratique ;</w:t>
      </w:r>
    </w:p>
    <w:p>
      <w:pPr>
        <w:pStyle w:val="ListParagraph"/>
        <w:numPr>
          <w:ilvl w:val="0"/>
          <w:numId w:val="1"/>
        </w:numPr>
        <w:spacing w:after="80"/>
      </w:pPr>
      <w:r>
        <w:rPr>
          <w:rFonts w:ascii="Times New Roman" w:cs="Times New Roman" w:eastAsia="Times New Roman" w:hAnsi="Times New Roman"/>
          <w:color w:val="1F2937"/>
          <w:sz w:val="22"/>
          <w:szCs w:val="22"/>
        </w:rPr>
        <w:t xml:space="preserve">distinguer ce qui relève de l'expérience sensorielle de ce qui relève de la reconnaissance (rigpa) à chaque étape ;</w:t>
      </w:r>
    </w:p>
    <w:p>
      <w:pPr>
        <w:pStyle w:val="ListParagraph"/>
        <w:numPr>
          <w:ilvl w:val="0"/>
          <w:numId w:val="1"/>
        </w:numPr>
        <w:spacing w:after="80"/>
      </w:pPr>
      <w:r>
        <w:rPr>
          <w:rFonts w:ascii="Times New Roman" w:cs="Times New Roman" w:eastAsia="Times New Roman" w:hAnsi="Times New Roman"/>
          <w:color w:val="1F2937"/>
          <w:sz w:val="22"/>
          <w:szCs w:val="22"/>
        </w:rPr>
        <w:t xml:space="preserve">situer la pratique des quatre visions dans la trajectoire vers le corps arc-en-ciel.</w:t>
      </w:r>
    </w:p>
    <w:p>
      <w:pPr>
        <w:spacing w:after="120"/>
      </w:pPr>
      <w:r>
        <w:rPr>
          <w:rFonts w:ascii="Times New Roman" w:cs="Times New Roman" w:eastAsia="Times New Roman" w:hAnsi="Times New Roman"/>
          <w:color w:val="1F2937"/>
          <w:sz w:val="22"/>
          <w:szCs w:val="22"/>
        </w:rPr>
        <w:t xml:space="preserve"/>
      </w:r>
    </w:p>
    <w:p>
      <w:pPr>
        <w:spacing w:after="120"/>
      </w:pPr>
      <w:r>
        <w:rPr>
          <w:rFonts w:ascii="Times New Roman" w:cs="Times New Roman" w:eastAsia="Times New Roman" w:hAnsi="Times New Roman"/>
          <w:color w:val="1F2937"/>
          <w:sz w:val="22"/>
          <w:szCs w:val="22"/>
        </w:rPr>
        <w:t xml:space="preserve">Lien avec la leçon précédente (n°11 — Rushen) : le rushen établit la séparation entre samsara et nirvana, purifiant le terrain. Le tögal, et notamment la progression à travers ses quatre visions, suppose cette purification comme socle. L'énergie (rtsal) de la rigpa — libérée par le trekchö (leçon 6) — se déploie maintenant sous forme de visions lumineuses que la conscience peut reconnaître ou manquer.</w:t>
      </w:r>
    </w:p>
    <w:p>
      <w:pPr>
        <w:pBdr>
          <w:bottom w:val="single" w:color="1B3A6B" w:sz="4" w:space="1"/>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Théorie (20 %) — Les quatre visions : cartographie d'un chemin lumineux</w:t>
      </w:r>
    </w:p>
    <w:p>
      <w:pPr>
        <w:pStyle w:val="Heading3"/>
        <w:spacing w:after="80" w:before="200"/>
      </w:pPr>
      <w:r>
        <w:rPr>
          <w:rFonts w:ascii="Times New Roman" w:cs="Times New Roman" w:eastAsia="Times New Roman" w:hAnsi="Times New Roman"/>
          <w:b/>
          <w:bCs/>
          <w:color w:val="1F2937"/>
          <w:sz w:val="26"/>
          <w:szCs w:val="26"/>
        </w:rPr>
        <w:t xml:space="preserve">Le tögal en contexte</w:t>
      </w:r>
    </w:p>
    <w:p>
      <w:pPr>
        <w:spacing w:after="120"/>
      </w:pPr>
      <w:r>
        <w:rPr>
          <w:rFonts w:ascii="Times New Roman" w:cs="Times New Roman" w:eastAsia="Times New Roman" w:hAnsi="Times New Roman"/>
          <w:color w:val="1F2937"/>
          <w:sz w:val="22"/>
          <w:szCs w:val="22"/>
        </w:rPr>
        <w:t xml:space="preserve">Le tögal (thod rgal, « franchissement direct ») est la seconde voie principale du dzogchen, complémentaire au trekchö. Là où le trekchö dissout les constructions mentales par une coupe directe, le tögal révèle la dimension spontanée de la rigpa à travers des visions lumineuses progressives. Ces visions ne sont pas des hallucinations ou des productions de l'imagination : elles sont décrites dans la tradition comme la « manifestation spontanée de l'énergie de la rigpa » (rig pa'i rtsal).</w:t>
      </w:r>
    </w:p>
    <w:p>
      <w:pPr>
        <w:spacing w:after="120"/>
      </w:pPr>
      <w:r>
        <w:rPr>
          <w:rFonts w:ascii="Times New Roman" w:cs="Times New Roman" w:eastAsia="Times New Roman" w:hAnsi="Times New Roman"/>
          <w:color w:val="1F2937"/>
          <w:sz w:val="22"/>
          <w:szCs w:val="22"/>
        </w:rPr>
        <w:t xml:space="preserve">Le terme tögal signifie littéralement « franchir par-dessus le sommet » — l'idée est celle d'un chemin qui court-circuite les étapes graduelles pour atteindre directement l'éveil. Mais ce « direct » n'est pas immédiat : la pratique s'organise en quatre stades ou visions (snang ba bzhi), chacun étant une étape vérifiable dans la progression du pratiquant.</w:t>
      </w:r>
    </w:p>
    <w:p>
      <w:pPr>
        <w:pStyle w:val="Heading3"/>
        <w:spacing w:after="80" w:before="200"/>
      </w:pPr>
      <w:r>
        <w:rPr>
          <w:rFonts w:ascii="Times New Roman" w:cs="Times New Roman" w:eastAsia="Times New Roman" w:hAnsi="Times New Roman"/>
          <w:b/>
          <w:bCs/>
          <w:color w:val="1F2937"/>
          <w:sz w:val="26"/>
          <w:szCs w:val="26"/>
        </w:rPr>
        <w:t xml:space="preserve">Conditions de pratique</w:t>
      </w:r>
    </w:p>
    <w:p>
      <w:pPr>
        <w:spacing w:after="120"/>
      </w:pPr>
      <w:r>
        <w:rPr>
          <w:rFonts w:ascii="Times New Roman" w:cs="Times New Roman" w:eastAsia="Times New Roman" w:hAnsi="Times New Roman"/>
          <w:color w:val="1F2937"/>
          <w:sz w:val="22"/>
          <w:szCs w:val="22"/>
        </w:rPr>
        <w:t xml:space="preserve">Le tögal traditionnel se pratique dans des conditions précises liées à la direction du regard et à la source lumineuse. Lopon Tenzin Namdak décrit trois supports : l'obscurité complète, le ciel ouvert, et la lumière solaire directe. Ces supports ne sont pas anecdotiques : ils conditionnent le type de visions qui émergent. La posture et l'orientation des yeux jouent un rôle central, ce qui fait du tögal une pratique rigoureusement guidée par un maître — jamais autoapprise.</w:t>
      </w:r>
    </w:p>
    <w:p>
      <w:pPr>
        <w:pStyle w:val="Heading3"/>
        <w:spacing w:after="80" w:before="200"/>
      </w:pPr>
      <w:r>
        <w:rPr>
          <w:rFonts w:ascii="Times New Roman" w:cs="Times New Roman" w:eastAsia="Times New Roman" w:hAnsi="Times New Roman"/>
          <w:b/>
          <w:bCs/>
          <w:color w:val="1F2937"/>
          <w:sz w:val="26"/>
          <w:szCs w:val="26"/>
        </w:rPr>
        <w:t xml:space="preserve">Les quatre visions — tableau de synthèse</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6B" w:color="auto" w:val="clear"/>
          </w:tcPr>
          <w:p>
            <w:r>
              <w:rPr>
                <w:rFonts w:ascii="Times New Roman" w:cs="Times New Roman" w:eastAsia="Times New Roman" w:hAnsi="Times New Roman"/>
                <w:b/>
                <w:bCs/>
                <w:color w:val="FFFFFF"/>
                <w:sz w:val="20"/>
                <w:szCs w:val="20"/>
              </w:rPr>
              <w:t xml:space="preserve">#</w:t>
            </w:r>
          </w:p>
        </w:tc>
        <w:tc>
          <w:tcPr>
            <w:shd w:fill="1B3A6B" w:color="auto" w:val="clear"/>
          </w:tcPr>
          <w:p>
            <w:r>
              <w:rPr>
                <w:rFonts w:ascii="Times New Roman" w:cs="Times New Roman" w:eastAsia="Times New Roman" w:hAnsi="Times New Roman"/>
                <w:b/>
                <w:bCs/>
                <w:color w:val="FFFFFF"/>
                <w:sz w:val="20"/>
                <w:szCs w:val="20"/>
              </w:rPr>
              <w:t xml:space="preserve">Tibétain (Wylie)</w:t>
            </w:r>
          </w:p>
        </w:tc>
        <w:tc>
          <w:tcPr>
            <w:shd w:fill="1B3A6B" w:color="auto" w:val="clear"/>
          </w:tcPr>
          <w:p>
            <w:r>
              <w:rPr>
                <w:rFonts w:ascii="Times New Roman" w:cs="Times New Roman" w:eastAsia="Times New Roman" w:hAnsi="Times New Roman"/>
                <w:b/>
                <w:bCs/>
                <w:color w:val="FFFFFF"/>
                <w:sz w:val="20"/>
                <w:szCs w:val="20"/>
              </w:rPr>
              <w:t xml:space="preserve">Nom français</w:t>
            </w:r>
          </w:p>
        </w:tc>
        <w:tc>
          <w:tcPr>
            <w:shd w:fill="1B3A6B" w:color="auto" w:val="clear"/>
          </w:tcPr>
          <w:p>
            <w:r>
              <w:rPr>
                <w:rFonts w:ascii="Times New Roman" w:cs="Times New Roman" w:eastAsia="Times New Roman" w:hAnsi="Times New Roman"/>
                <w:b/>
                <w:bCs/>
                <w:color w:val="FFFFFF"/>
                <w:sz w:val="20"/>
                <w:szCs w:val="20"/>
              </w:rPr>
              <w:t xml:space="preserve">Phénomène central</w:t>
            </w:r>
          </w:p>
        </w:tc>
      </w:tr>
      <w:tr>
        <w:tc>
          <w:tcPr>
            <w:shd w:fill="FFFFFF" w:color="auto" w:val="clear"/>
          </w:tcPr>
          <w:p>
            <w:r>
              <w:rPr>
                <w:rFonts w:ascii="Times New Roman" w:cs="Times New Roman" w:eastAsia="Times New Roman" w:hAnsi="Times New Roman"/>
                <w:color w:val="1F2937"/>
                <w:sz w:val="20"/>
                <w:szCs w:val="20"/>
              </w:rPr>
              <w:t xml:space="preserve">1</w:t>
            </w:r>
          </w:p>
        </w:tc>
        <w:tc>
          <w:tcPr>
            <w:shd w:fill="FFFFFF" w:color="auto" w:val="clear"/>
          </w:tcPr>
          <w:p>
            <w:r>
              <w:rPr>
                <w:rFonts w:ascii="Times New Roman" w:cs="Times New Roman" w:eastAsia="Times New Roman" w:hAnsi="Times New Roman"/>
                <w:color w:val="1F2937"/>
                <w:sz w:val="20"/>
                <w:szCs w:val="20"/>
              </w:rPr>
              <w:t xml:space="preserve">chos nyid mngon sum</w:t>
            </w:r>
          </w:p>
        </w:tc>
        <w:tc>
          <w:tcPr>
            <w:shd w:fill="FFFFFF" w:color="auto" w:val="clear"/>
          </w:tcPr>
          <w:p>
            <w:r>
              <w:rPr>
                <w:rFonts w:ascii="Times New Roman" w:cs="Times New Roman" w:eastAsia="Times New Roman" w:hAnsi="Times New Roman"/>
                <w:color w:val="1F2937"/>
                <w:sz w:val="20"/>
                <w:szCs w:val="20"/>
              </w:rPr>
              <w:t xml:space="preserve">Dharmata devenant manifeste</w:t>
            </w:r>
          </w:p>
        </w:tc>
        <w:tc>
          <w:tcPr>
            <w:shd w:fill="FFFFFF" w:color="auto" w:val="clear"/>
          </w:tcPr>
          <w:p>
            <w:r>
              <w:rPr>
                <w:rFonts w:ascii="Times New Roman" w:cs="Times New Roman" w:eastAsia="Times New Roman" w:hAnsi="Times New Roman"/>
                <w:color w:val="1F2937"/>
                <w:sz w:val="20"/>
                <w:szCs w:val="20"/>
              </w:rPr>
              <w:t xml:space="preserve">Premières sphères lumineuses (thigle) et chaînes de points dans le champ visuel</w:t>
            </w:r>
          </w:p>
        </w:tc>
      </w:tr>
      <w:tr>
        <w:tc>
          <w:tcPr>
            <w:shd w:fill="EEF2F7" w:color="auto" w:val="clear"/>
          </w:tcPr>
          <w:p>
            <w:r>
              <w:rPr>
                <w:rFonts w:ascii="Times New Roman" w:cs="Times New Roman" w:eastAsia="Times New Roman" w:hAnsi="Times New Roman"/>
                <w:color w:val="1F2937"/>
                <w:sz w:val="20"/>
                <w:szCs w:val="20"/>
              </w:rPr>
              <w:t xml:space="preserve">2</w:t>
            </w:r>
          </w:p>
        </w:tc>
        <w:tc>
          <w:tcPr>
            <w:shd w:fill="EEF2F7" w:color="auto" w:val="clear"/>
          </w:tcPr>
          <w:p>
            <w:r>
              <w:rPr>
                <w:rFonts w:ascii="Times New Roman" w:cs="Times New Roman" w:eastAsia="Times New Roman" w:hAnsi="Times New Roman"/>
                <w:color w:val="1F2937"/>
                <w:sz w:val="20"/>
                <w:szCs w:val="20"/>
              </w:rPr>
              <w:t xml:space="preserve">nyams gong 'phel</w:t>
            </w:r>
          </w:p>
        </w:tc>
        <w:tc>
          <w:tcPr>
            <w:shd w:fill="EEF2F7" w:color="auto" w:val="clear"/>
          </w:tcPr>
          <w:p>
            <w:r>
              <w:rPr>
                <w:rFonts w:ascii="Times New Roman" w:cs="Times New Roman" w:eastAsia="Times New Roman" w:hAnsi="Times New Roman"/>
                <w:color w:val="1F2937"/>
                <w:sz w:val="20"/>
                <w:szCs w:val="20"/>
              </w:rPr>
              <w:t xml:space="preserve">Expérience croissante</w:t>
            </w:r>
          </w:p>
        </w:tc>
        <w:tc>
          <w:tcPr>
            <w:shd w:fill="EEF2F7" w:color="auto" w:val="clear"/>
          </w:tcPr>
          <w:p>
            <w:r>
              <w:rPr>
                <w:rFonts w:ascii="Times New Roman" w:cs="Times New Roman" w:eastAsia="Times New Roman" w:hAnsi="Times New Roman"/>
                <w:color w:val="1F2937"/>
                <w:sz w:val="20"/>
                <w:szCs w:val="20"/>
              </w:rPr>
              <w:t xml:space="preserve">Multiplication, intensification et configuration des apparences lumineuses</w:t>
            </w:r>
          </w:p>
        </w:tc>
      </w:tr>
      <w:tr>
        <w:tc>
          <w:tcPr>
            <w:shd w:fill="FFFFFF" w:color="auto" w:val="clear"/>
          </w:tcPr>
          <w:p>
            <w:r>
              <w:rPr>
                <w:rFonts w:ascii="Times New Roman" w:cs="Times New Roman" w:eastAsia="Times New Roman" w:hAnsi="Times New Roman"/>
                <w:color w:val="1F2937"/>
                <w:sz w:val="20"/>
                <w:szCs w:val="20"/>
              </w:rPr>
              <w:t xml:space="preserve">3</w:t>
            </w:r>
          </w:p>
        </w:tc>
        <w:tc>
          <w:tcPr>
            <w:shd w:fill="FFFFFF" w:color="auto" w:val="clear"/>
          </w:tcPr>
          <w:p>
            <w:r>
              <w:rPr>
                <w:rFonts w:ascii="Times New Roman" w:cs="Times New Roman" w:eastAsia="Times New Roman" w:hAnsi="Times New Roman"/>
                <w:color w:val="1F2937"/>
                <w:sz w:val="20"/>
                <w:szCs w:val="20"/>
              </w:rPr>
              <w:t xml:space="preserve">rig pa tshad phebs</w:t>
            </w:r>
          </w:p>
        </w:tc>
        <w:tc>
          <w:tcPr>
            <w:shd w:fill="FFFFFF" w:color="auto" w:val="clear"/>
          </w:tcPr>
          <w:p>
            <w:r>
              <w:rPr>
                <w:rFonts w:ascii="Times New Roman" w:cs="Times New Roman" w:eastAsia="Times New Roman" w:hAnsi="Times New Roman"/>
                <w:color w:val="1F2937"/>
                <w:sz w:val="20"/>
                <w:szCs w:val="20"/>
              </w:rPr>
              <w:t xml:space="preserve">La rigpa atteignant sa pleine mesure</w:t>
            </w:r>
          </w:p>
        </w:tc>
        <w:tc>
          <w:tcPr>
            <w:shd w:fill="FFFFFF" w:color="auto" w:val="clear"/>
          </w:tcPr>
          <w:p>
            <w:r>
              <w:rPr>
                <w:rFonts w:ascii="Times New Roman" w:cs="Times New Roman" w:eastAsia="Times New Roman" w:hAnsi="Times New Roman"/>
                <w:color w:val="1F2937"/>
                <w:sz w:val="20"/>
                <w:szCs w:val="20"/>
              </w:rPr>
              <w:t xml:space="preserve">Organisation en mandala des 100 divinités paisibles et courroucées</w:t>
            </w:r>
          </w:p>
        </w:tc>
      </w:tr>
      <w:tr>
        <w:tc>
          <w:tcPr>
            <w:shd w:fill="EEF2F7" w:color="auto" w:val="clear"/>
          </w:tcPr>
          <w:p>
            <w:r>
              <w:rPr>
                <w:rFonts w:ascii="Times New Roman" w:cs="Times New Roman" w:eastAsia="Times New Roman" w:hAnsi="Times New Roman"/>
                <w:color w:val="1F2937"/>
                <w:sz w:val="20"/>
                <w:szCs w:val="20"/>
              </w:rPr>
              <w:t xml:space="preserve">4</w:t>
            </w:r>
          </w:p>
        </w:tc>
        <w:tc>
          <w:tcPr>
            <w:shd w:fill="EEF2F7" w:color="auto" w:val="clear"/>
          </w:tcPr>
          <w:p>
            <w:r>
              <w:rPr>
                <w:rFonts w:ascii="Times New Roman" w:cs="Times New Roman" w:eastAsia="Times New Roman" w:hAnsi="Times New Roman"/>
                <w:color w:val="1F2937"/>
                <w:sz w:val="20"/>
                <w:szCs w:val="20"/>
              </w:rPr>
              <w:t xml:space="preserve">chos nyid zad pa</w:t>
            </w:r>
          </w:p>
        </w:tc>
        <w:tc>
          <w:tcPr>
            <w:shd w:fill="EEF2F7" w:color="auto" w:val="clear"/>
          </w:tcPr>
          <w:p>
            <w:r>
              <w:rPr>
                <w:rFonts w:ascii="Times New Roman" w:cs="Times New Roman" w:eastAsia="Times New Roman" w:hAnsi="Times New Roman"/>
                <w:color w:val="1F2937"/>
                <w:sz w:val="20"/>
                <w:szCs w:val="20"/>
              </w:rPr>
              <w:t xml:space="preserve">Épuisement des phénomènes dans la dharmata</w:t>
            </w:r>
          </w:p>
        </w:tc>
        <w:tc>
          <w:tcPr>
            <w:shd w:fill="EEF2F7" w:color="auto" w:val="clear"/>
          </w:tcPr>
          <w:p>
            <w:r>
              <w:rPr>
                <w:rFonts w:ascii="Times New Roman" w:cs="Times New Roman" w:eastAsia="Times New Roman" w:hAnsi="Times New Roman"/>
                <w:color w:val="1F2937"/>
                <w:sz w:val="20"/>
                <w:szCs w:val="20"/>
              </w:rPr>
              <w:t xml:space="preserve">Résorption de toutes les apparences dans l'espace fondamental</w:t>
            </w:r>
          </w:p>
        </w:tc>
      </w:tr>
    </w:tbl>
    <w:p>
      <w:pPr>
        <w:spacing w:after="200"/>
      </w:pPr>
    </w:p>
    <w:p>
      <w:pPr>
        <w:pStyle w:val="Heading3"/>
        <w:spacing w:after="80" w:before="200"/>
      </w:pPr>
      <w:r>
        <w:rPr>
          <w:rFonts w:ascii="Times New Roman" w:cs="Times New Roman" w:eastAsia="Times New Roman" w:hAnsi="Times New Roman"/>
          <w:b/>
          <w:bCs/>
          <w:color w:val="1F2937"/>
          <w:sz w:val="26"/>
          <w:szCs w:val="26"/>
        </w:rPr>
        <w:t xml:space="preserve">Vision 1 — chos nyid mngon sum : la dharmata devenant manifeste</w:t>
      </w:r>
    </w:p>
    <w:p>
      <w:pPr>
        <w:spacing w:after="120"/>
      </w:pPr>
      <w:r>
        <w:rPr>
          <w:rFonts w:ascii="Times New Roman" w:cs="Times New Roman" w:eastAsia="Times New Roman" w:hAnsi="Times New Roman"/>
          <w:color w:val="1F2937"/>
          <w:sz w:val="22"/>
          <w:szCs w:val="22"/>
        </w:rPr>
        <w:t xml:space="preserve">C'est l'émergence des premiers signes de la nature de réalité (dharmata, chos nyid) dans le champ visuel. Apparaissent des sphères lumineuses — les thigle (thig le) — et des « chaînes de points connectés ». Ces lumières ne sont pas perçues comme des objets extérieurs : elles sont reconnues comme l'énergie naturelle de la conscience se montrant à elle-même. Si le pratiquant réagit à ces visions avec saisissement ou rejet, il reste dans le samsara. La reconnaissance (rangzen, rang gsal) est ce qui fait basculer l'expérience.</w:t>
      </w:r>
    </w:p>
    <w:p>
      <w:pPr>
        <w:pStyle w:val="Heading3"/>
        <w:spacing w:after="80" w:before="200"/>
      </w:pPr>
      <w:r>
        <w:rPr>
          <w:rFonts w:ascii="Times New Roman" w:cs="Times New Roman" w:eastAsia="Times New Roman" w:hAnsi="Times New Roman"/>
          <w:b/>
          <w:bCs/>
          <w:color w:val="1F2937"/>
          <w:sz w:val="26"/>
          <w:szCs w:val="26"/>
        </w:rPr>
        <w:t xml:space="preserve">Vision 2 — nyams gong 'phel : l'expérience croissante</w:t>
      </w:r>
    </w:p>
    <w:p>
      <w:pPr>
        <w:spacing w:after="120"/>
      </w:pPr>
      <w:r>
        <w:rPr>
          <w:rFonts w:ascii="Times New Roman" w:cs="Times New Roman" w:eastAsia="Times New Roman" w:hAnsi="Times New Roman"/>
          <w:color w:val="1F2937"/>
          <w:sz w:val="22"/>
          <w:szCs w:val="22"/>
        </w:rPr>
        <w:t xml:space="preserve">Les apparences se multiplient, augmentent en taille, en nombre et en complexité. Elles commencent à se structurer en configurations plus élaborées. Ce stade teste la stabilité de la reconnaissance : plus les visions sont fascinantes, plus le risque de se perdre dans leur contemplation est grand. La vigilance sans effort — ni fascination ni répulsion — est ce qui permet la progression.</w:t>
      </w:r>
    </w:p>
    <w:p>
      <w:pPr>
        <w:pStyle w:val="Heading3"/>
        <w:spacing w:after="80" w:before="200"/>
      </w:pPr>
      <w:r>
        <w:rPr>
          <w:rFonts w:ascii="Times New Roman" w:cs="Times New Roman" w:eastAsia="Times New Roman" w:hAnsi="Times New Roman"/>
          <w:b/>
          <w:bCs/>
          <w:color w:val="1F2937"/>
          <w:sz w:val="26"/>
          <w:szCs w:val="26"/>
        </w:rPr>
        <w:t xml:space="preserve">Vision 3 — rig pa tshad phebs : la rigpa atteignant sa pleine mesure</w:t>
      </w:r>
    </w:p>
    <w:p>
      <w:pPr>
        <w:spacing w:after="120"/>
      </w:pPr>
      <w:r>
        <w:rPr>
          <w:rFonts w:ascii="Times New Roman" w:cs="Times New Roman" w:eastAsia="Times New Roman" w:hAnsi="Times New Roman"/>
          <w:color w:val="1F2937"/>
          <w:sz w:val="22"/>
          <w:szCs w:val="22"/>
        </w:rPr>
        <w:t xml:space="preserve">Les lumières abstraites des stades précédents se cristallisent en mandala des cent divinités paisibles et courroucées (zhi khro). Ce stade est décrit comme le point de « maturité » de la rigpa : la conscience déploie sa pleine capacité de reconnaissance de sa propre nature. Dans les textes tibétains, c'est ici que la continuité de la reconnaissance devient stable — non plus intermittente mais constante.</w:t>
      </w:r>
    </w:p>
    <w:p>
      <w:pPr>
        <w:pStyle w:val="Heading3"/>
        <w:spacing w:after="80" w:before="200"/>
      </w:pPr>
      <w:r>
        <w:rPr>
          <w:rFonts w:ascii="Times New Roman" w:cs="Times New Roman" w:eastAsia="Times New Roman" w:hAnsi="Times New Roman"/>
          <w:b/>
          <w:bCs/>
          <w:color w:val="1F2937"/>
          <w:sz w:val="26"/>
          <w:szCs w:val="26"/>
        </w:rPr>
        <w:t xml:space="preserve">Vision 4 — chos nyid zad pa : l'épuisement des phénomènes dans la dharmata</w:t>
      </w:r>
    </w:p>
    <w:p>
      <w:pPr>
        <w:spacing w:after="120"/>
      </w:pPr>
      <w:r>
        <w:rPr>
          <w:rFonts w:ascii="Times New Roman" w:cs="Times New Roman" w:eastAsia="Times New Roman" w:hAnsi="Times New Roman"/>
          <w:color w:val="1F2937"/>
          <w:sz w:val="22"/>
          <w:szCs w:val="22"/>
        </w:rPr>
        <w:t xml:space="preserve">Toutes les apparences se résorbent dans l'espace fondamental (klong) et s'éteignent. Il ne reste plus rien à reconnaître, car il n'y a plus de sujet-objet. Ce stade est l'état de la dharmakaya vivant : l'extinction des phénomènes n'est pas un néant, mais la plénitude de la base (gzhi). C'est le sol direct du corps arc-en-ciel ('ja' lus) — thème de la leçon 14.</w:t>
      </w:r>
    </w:p>
    <w:p>
      <w:pPr>
        <w:pStyle w:val="Heading3"/>
        <w:spacing w:after="80" w:before="200"/>
      </w:pPr>
      <w:r>
        <w:rPr>
          <w:rFonts w:ascii="Times New Roman" w:cs="Times New Roman" w:eastAsia="Times New Roman" w:hAnsi="Times New Roman"/>
          <w:b/>
          <w:bCs/>
          <w:color w:val="1F2937"/>
          <w:sz w:val="26"/>
          <w:szCs w:val="26"/>
        </w:rPr>
        <w:t xml:space="preserve">Guardrail — ce que ces visions ne sont pas</w:t>
      </w:r>
    </w:p>
    <w:p>
      <w:pPr>
        <w:spacing w:after="120"/>
      </w:pPr>
      <w:r>
        <w:rPr>
          <w:rFonts w:ascii="Times New Roman" w:cs="Times New Roman" w:eastAsia="Times New Roman" w:hAnsi="Times New Roman"/>
          <w:color w:val="1F2937"/>
          <w:sz w:val="22"/>
          <w:szCs w:val="22"/>
        </w:rPr>
        <w:t xml:space="preserve">Les quatre visions ne sont pas des états de transe ou d'absorption (samadhi au sens yogique). Elles ne supposent pas de supprimer la conscience ordinaire, mais de reconnaître sa nature à travers les manifestations lumineuses. Un pratiquant débutant peut voir des lumières sans que cela constitue le tögal — la reconnaissance est déterminante. La tradition insiste : sans maître qualifié, la pratique du tögal peut mener à des déséquilibres. Ce point n'est pas une mise en garde anodine.</w:t>
      </w:r>
    </w:p>
    <w:p>
      <w:pPr>
        <w:pBdr>
          <w:bottom w:val="single" w:color="1B3A6B" w:sz="4" w:space="1"/>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Pratique (80 %)</w:t>
      </w:r>
    </w:p>
    <w:p>
      <w:pPr>
        <w:pStyle w:val="Heading3"/>
        <w:spacing w:after="80" w:before="200"/>
      </w:pPr>
      <w:r>
        <w:rPr>
          <w:rFonts w:ascii="Times New Roman" w:cs="Times New Roman" w:eastAsia="Times New Roman" w:hAnsi="Times New Roman"/>
          <w:b/>
          <w:bCs/>
          <w:color w:val="1F2937"/>
          <w:sz w:val="26"/>
          <w:szCs w:val="26"/>
        </w:rPr>
        <w:t xml:space="preserve">Exercice 1 — Cartographie active des quatre visions (20 min)</w:t>
      </w:r>
    </w:p>
    <w:p>
      <w:pPr>
        <w:spacing w:after="120"/>
      </w:pPr>
      <w:r>
        <w:rPr>
          <w:rFonts w:ascii="Times New Roman" w:cs="Times New Roman" w:eastAsia="Times New Roman" w:hAnsi="Times New Roman"/>
          <w:color w:val="1F2937"/>
          <w:sz w:val="22"/>
          <w:szCs w:val="22"/>
        </w:rPr>
        <w:t xml:space="preserve">Objectif : ancrer les quatre stades dans ta mémoire de façon active.</w:t>
      </w:r>
    </w:p>
    <w:p>
      <w:pPr>
        <w:spacing w:after="120"/>
      </w:pPr>
      <w:r>
        <w:rPr>
          <w:rFonts w:ascii="Times New Roman" w:cs="Times New Roman" w:eastAsia="Times New Roman" w:hAnsi="Times New Roman"/>
          <w:color w:val="1F2937"/>
          <w:sz w:val="22"/>
          <w:szCs w:val="22"/>
        </w:rPr>
        <w:t xml:space="preserve">Matériel : une feuille blanche ou ton cahier de pratique.</w:t>
      </w:r>
    </w:p>
    <w:p>
      <w:pPr>
        <w:spacing w:after="120"/>
      </w:pPr>
      <w:r>
        <w:rPr>
          <w:rFonts w:ascii="Times New Roman" w:cs="Times New Roman" w:eastAsia="Times New Roman" w:hAnsi="Times New Roman"/>
          <w:color w:val="1F2937"/>
          <w:sz w:val="22"/>
          <w:szCs w:val="22"/>
        </w:rPr>
        <w:t xml:space="preserve">Procédure :</w:t>
      </w:r>
    </w:p>
    <w:p>
      <w:pPr>
        <w:pStyle w:val="ListParagraph"/>
        <w:numPr>
          <w:ilvl w:val="0"/>
          <w:numId w:val="1"/>
        </w:numPr>
        <w:spacing w:after="80"/>
      </w:pPr>
      <w:r>
        <w:rPr>
          <w:rFonts w:ascii="Times New Roman" w:cs="Times New Roman" w:eastAsia="Times New Roman" w:hAnsi="Times New Roman"/>
          <w:color w:val="1F2937"/>
          <w:sz w:val="22"/>
          <w:szCs w:val="22"/>
        </w:rPr>
        <w:t xml:space="preserve">Dessine un axe horizontal représentant la progression des quatre visions. Nomme chaque étape en tibétain (Wylie), en français, et note le phénomène central.</w:t>
      </w:r>
    </w:p>
    <w:p>
      <w:pPr>
        <w:pStyle w:val="ListParagraph"/>
        <w:numPr>
          <w:ilvl w:val="0"/>
          <w:numId w:val="1"/>
        </w:numPr>
        <w:spacing w:after="80"/>
      </w:pPr>
      <w:r>
        <w:rPr>
          <w:rFonts w:ascii="Times New Roman" w:cs="Times New Roman" w:eastAsia="Times New Roman" w:hAnsi="Times New Roman"/>
          <w:color w:val="1F2937"/>
          <w:sz w:val="22"/>
          <w:szCs w:val="22"/>
        </w:rPr>
        <w:t xml:space="preserve">Pour chaque vision, écris en 2-3 lignes : (a) ce qui se passe dans l'expérience du pratiquant, (b) ce qui différencie la reconnaissance de la non-reconnaissance à ce stade.</w:t>
      </w:r>
    </w:p>
    <w:p>
      <w:pPr>
        <w:pStyle w:val="ListParagraph"/>
        <w:numPr>
          <w:ilvl w:val="0"/>
          <w:numId w:val="1"/>
        </w:numPr>
        <w:spacing w:after="80"/>
      </w:pPr>
      <w:r>
        <w:rPr>
          <w:rFonts w:ascii="Times New Roman" w:cs="Times New Roman" w:eastAsia="Times New Roman" w:hAnsi="Times New Roman"/>
          <w:color w:val="1F2937"/>
          <w:sz w:val="22"/>
          <w:szCs w:val="22"/>
        </w:rPr>
        <w:t xml:space="preserve">Identifie un « piège » potentiel à chaque vision : qu'est-ce qui pourrait amener le pratiquant à sortir de la reconnaissance ?</w:t>
      </w:r>
    </w:p>
    <w:p>
      <w:pPr>
        <w:spacing w:after="120"/>
      </w:pPr>
      <w:r>
        <w:rPr>
          <w:rFonts w:ascii="Times New Roman" w:cs="Times New Roman" w:eastAsia="Times New Roman" w:hAnsi="Times New Roman"/>
          <w:color w:val="1F2937"/>
          <w:sz w:val="22"/>
          <w:szCs w:val="22"/>
        </w:rPr>
        <w:t xml:space="preserve">Corrigé indicatif :</w:t>
      </w:r>
    </w:p>
    <w:p>
      <w:pPr>
        <w:shd w:fill="F3F4F6" w:color="auto" w:val="clear"/>
        <w:spacing w:after="120"/>
        <w:ind w:left="480"/>
      </w:pPr>
      <w:r>
        <w:rPr>
          <w:rFonts w:ascii="Times New Roman" w:cs="Times New Roman" w:eastAsia="Times New Roman" w:hAnsi="Times New Roman"/>
          <w:i/>
          <w:iCs/>
          <w:color w:val="1B3A6B"/>
          <w:sz w:val="22"/>
          <w:szCs w:val="22"/>
        </w:rPr>
        <w:t xml:space="preserve">Vision 1 — Piège : saisissement face à la nouveauté des apparences lumineuses (réaction de fascination). La reconnaissance implique de voir les thigle comme sa propre énergie, sans s'y attacher.</w:t>
      </w:r>
    </w:p>
    <w:p>
      <w:pPr>
        <w:shd w:fill="F3F4F6" w:color="auto" w:val="clear"/>
        <w:spacing w:after="120"/>
        <w:ind w:left="480"/>
      </w:pPr>
      <w:r>
        <w:rPr>
          <w:rFonts w:ascii="Times New Roman" w:cs="Times New Roman" w:eastAsia="Times New Roman" w:hAnsi="Times New Roman"/>
          <w:i/>
          <w:iCs/>
          <w:color w:val="1B3A6B"/>
          <w:sz w:val="22"/>
          <w:szCs w:val="22"/>
        </w:rPr>
        <w:t xml:space="preserve">Vision 2 — Piège : être emporté par la multiplication des visions (distraction par la richesse phénoménale). La stabilité est ce qui distingue progression de dispersion.</w:t>
      </w:r>
    </w:p>
    <w:p>
      <w:pPr>
        <w:shd w:fill="F3F4F6" w:color="auto" w:val="clear"/>
        <w:spacing w:after="120"/>
        <w:ind w:left="480"/>
      </w:pPr>
      <w:r>
        <w:rPr>
          <w:rFonts w:ascii="Times New Roman" w:cs="Times New Roman" w:eastAsia="Times New Roman" w:hAnsi="Times New Roman"/>
          <w:i/>
          <w:iCs/>
          <w:color w:val="1B3A6B"/>
          <w:sz w:val="22"/>
          <w:szCs w:val="22"/>
        </w:rPr>
        <w:t xml:space="preserve">Vision 3 — Piège : réifier les déités du mandala comme extérieures à soi. La reconnaissance les voit comme la plénitude de la rigpa elle-même.</w:t>
      </w:r>
    </w:p>
    <w:p>
      <w:pPr>
        <w:shd w:fill="F3F4F6" w:color="auto" w:val="clear"/>
        <w:spacing w:after="120"/>
        <w:ind w:left="480"/>
      </w:pPr>
      <w:r>
        <w:rPr>
          <w:rFonts w:ascii="Times New Roman" w:cs="Times New Roman" w:eastAsia="Times New Roman" w:hAnsi="Times New Roman"/>
          <w:i/>
          <w:iCs/>
          <w:color w:val="1B3A6B"/>
          <w:sz w:val="22"/>
          <w:szCs w:val="22"/>
        </w:rPr>
        <w:t xml:space="preserve">Vision 4 — Piège : confondre l'épuisement avec un état de vide ou de néant. C'est la plénitude de la dharmakaya, non un manque.</w:t>
      </w:r>
    </w:p>
    <w:p>
      <w:pPr>
        <w:pStyle w:val="Heading3"/>
        <w:spacing w:after="80" w:before="200"/>
      </w:pPr>
      <w:r>
        <w:rPr>
          <w:rFonts w:ascii="Times New Roman" w:cs="Times New Roman" w:eastAsia="Times New Roman" w:hAnsi="Times New Roman"/>
          <w:b/>
          <w:bCs/>
          <w:color w:val="1F2937"/>
          <w:sz w:val="26"/>
          <w:szCs w:val="26"/>
        </w:rPr>
        <w:t xml:space="preserve">Exercice 2 — Contemplation des thigle (pratique personnelle, 15-20 min)</w:t>
      </w:r>
    </w:p>
    <w:p>
      <w:pPr>
        <w:spacing w:after="120"/>
      </w:pPr>
      <w:r>
        <w:rPr>
          <w:rFonts w:ascii="Times New Roman" w:cs="Times New Roman" w:eastAsia="Times New Roman" w:hAnsi="Times New Roman"/>
          <w:color w:val="1F2937"/>
          <w:sz w:val="22"/>
          <w:szCs w:val="22"/>
        </w:rPr>
        <w:t xml:space="preserve">Objectif : expérimenter, dans des conditions sécurisées et non formelles, ce que peut évoquer le premier stade du tögal.</w:t>
      </w:r>
    </w:p>
    <w:p>
      <w:pPr>
        <w:spacing w:after="120"/>
      </w:pPr>
      <w:r>
        <w:rPr>
          <w:rFonts w:ascii="Times New Roman" w:cs="Times New Roman" w:eastAsia="Times New Roman" w:hAnsi="Times New Roman"/>
          <w:color w:val="1F2937"/>
          <w:sz w:val="22"/>
          <w:szCs w:val="22"/>
        </w:rPr>
        <w:t xml:space="preserve">Note préalable : cet exercice n'est pas de la pratique tögal authentique (qui exige un maître et un cadre précis). C'est une exploration contemplative de la première vision, à titre pédagogique.</w:t>
      </w:r>
    </w:p>
    <w:p>
      <w:pPr>
        <w:spacing w:after="120"/>
      </w:pPr>
      <w:r>
        <w:rPr>
          <w:rFonts w:ascii="Times New Roman" w:cs="Times New Roman" w:eastAsia="Times New Roman" w:hAnsi="Times New Roman"/>
          <w:color w:val="1F2937"/>
          <w:sz w:val="22"/>
          <w:szCs w:val="22"/>
        </w:rPr>
        <w:t xml:space="preserve">Procédure :</w:t>
      </w:r>
    </w:p>
    <w:p>
      <w:pPr>
        <w:pStyle w:val="ListParagraph"/>
        <w:numPr>
          <w:ilvl w:val="0"/>
          <w:numId w:val="1"/>
        </w:numPr>
        <w:spacing w:after="80"/>
      </w:pPr>
      <w:r>
        <w:rPr>
          <w:rFonts w:ascii="Times New Roman" w:cs="Times New Roman" w:eastAsia="Times New Roman" w:hAnsi="Times New Roman"/>
          <w:color w:val="1F2937"/>
          <w:sz w:val="22"/>
          <w:szCs w:val="22"/>
        </w:rPr>
        <w:t xml:space="preserve">Assieds-toi confortablement dans un endroit légèrement obscurcis, ou regarde un ciel bleu sans nuages (quelques secondes, puis baisse les yeux sur une surface claire).</w:t>
      </w:r>
    </w:p>
    <w:p>
      <w:pPr>
        <w:pStyle w:val="ListParagraph"/>
        <w:numPr>
          <w:ilvl w:val="0"/>
          <w:numId w:val="1"/>
        </w:numPr>
        <w:spacing w:after="80"/>
      </w:pPr>
      <w:r>
        <w:rPr>
          <w:rFonts w:ascii="Times New Roman" w:cs="Times New Roman" w:eastAsia="Times New Roman" w:hAnsi="Times New Roman"/>
          <w:color w:val="1F2937"/>
          <w:sz w:val="22"/>
          <w:szCs w:val="22"/>
        </w:rPr>
        <w:t xml:space="preserve">Laisse le champ visuel se détendre sans fixer aucun objet — regard dit « panoramique ».</w:t>
      </w:r>
    </w:p>
    <w:p>
      <w:pPr>
        <w:pStyle w:val="ListParagraph"/>
        <w:numPr>
          <w:ilvl w:val="0"/>
          <w:numId w:val="1"/>
        </w:numPr>
        <w:spacing w:after="80"/>
      </w:pPr>
      <w:r>
        <w:rPr>
          <w:rFonts w:ascii="Times New Roman" w:cs="Times New Roman" w:eastAsia="Times New Roman" w:hAnsi="Times New Roman"/>
          <w:color w:val="1F2937"/>
          <w:sz w:val="22"/>
          <w:szCs w:val="22"/>
        </w:rPr>
        <w:t xml:space="preserve">Note ce qui apparaît spontanément dans le champ visuel : phosphènes, points lumineux, halos. Ne les cherche pas, ne les force pas.</w:t>
      </w:r>
    </w:p>
    <w:p>
      <w:pPr>
        <w:pStyle w:val="ListParagraph"/>
        <w:numPr>
          <w:ilvl w:val="0"/>
          <w:numId w:val="1"/>
        </w:numPr>
        <w:spacing w:after="80"/>
      </w:pPr>
      <w:r>
        <w:rPr>
          <w:rFonts w:ascii="Times New Roman" w:cs="Times New Roman" w:eastAsia="Times New Roman" w:hAnsi="Times New Roman"/>
          <w:color w:val="1F2937"/>
          <w:sz w:val="22"/>
          <w:szCs w:val="22"/>
        </w:rPr>
        <w:t xml:space="preserve">Pose-toi cette question : « Ces apparences lumineuses — est-ce que je les regarde, ou est-ce qu'elles font partie du regard lui-même ? »</w:t>
      </w:r>
    </w:p>
    <w:p>
      <w:pPr>
        <w:pStyle w:val="ListParagraph"/>
        <w:numPr>
          <w:ilvl w:val="0"/>
          <w:numId w:val="1"/>
        </w:numPr>
        <w:spacing w:after="80"/>
      </w:pPr>
      <w:r>
        <w:rPr>
          <w:rFonts w:ascii="Times New Roman" w:cs="Times New Roman" w:eastAsia="Times New Roman" w:hAnsi="Times New Roman"/>
          <w:color w:val="1F2937"/>
          <w:sz w:val="22"/>
          <w:szCs w:val="22"/>
        </w:rPr>
        <w:t xml:space="preserve">Reste 10 minutes dans cette enquête, sans chercher une réponse conceptuelle.</w:t>
      </w:r>
    </w:p>
    <w:p>
      <w:pPr>
        <w:spacing w:after="120"/>
      </w:pPr>
      <w:r>
        <w:rPr>
          <w:rFonts w:ascii="Times New Roman" w:cs="Times New Roman" w:eastAsia="Times New Roman" w:hAnsi="Times New Roman"/>
          <w:color w:val="1F2937"/>
          <w:sz w:val="22"/>
          <w:szCs w:val="22"/>
        </w:rPr>
        <w:t xml:space="preserve">Après la séance : note dans ton cahier 3-5 observations brèves sur ce que tu as perçu et sur ce que la question a ouvert.</w:t>
      </w:r>
    </w:p>
    <w:p>
      <w:pPr>
        <w:pStyle w:val="Heading3"/>
        <w:spacing w:after="80" w:before="200"/>
      </w:pPr>
      <w:r>
        <w:rPr>
          <w:rFonts w:ascii="Times New Roman" w:cs="Times New Roman" w:eastAsia="Times New Roman" w:hAnsi="Times New Roman"/>
          <w:b/>
          <w:bCs/>
          <w:color w:val="1F2937"/>
          <w:sz w:val="26"/>
          <w:szCs w:val="26"/>
        </w:rPr>
        <w:t xml:space="preserve">Exercice 3 — Étude comparative : tögal et trekchö (30 min)</w:t>
      </w:r>
    </w:p>
    <w:p>
      <w:pPr>
        <w:spacing w:after="120"/>
      </w:pPr>
      <w:r>
        <w:rPr>
          <w:rFonts w:ascii="Times New Roman" w:cs="Times New Roman" w:eastAsia="Times New Roman" w:hAnsi="Times New Roman"/>
          <w:color w:val="1F2937"/>
          <w:sz w:val="22"/>
          <w:szCs w:val="22"/>
        </w:rPr>
        <w:t xml:space="preserve">Objectif : distinguer les deux voies principales du dzogchen et situer les quatre visions dans l'ensemble du système.</w:t>
      </w:r>
    </w:p>
    <w:p>
      <w:pPr>
        <w:spacing w:after="120"/>
      </w:pPr>
      <w:r>
        <w:rPr>
          <w:rFonts w:ascii="Times New Roman" w:cs="Times New Roman" w:eastAsia="Times New Roman" w:hAnsi="Times New Roman"/>
          <w:color w:val="1F2937"/>
          <w:sz w:val="22"/>
          <w:szCs w:val="22"/>
        </w:rPr>
        <w:t xml:space="preserve">Procédure :</w:t>
      </w:r>
    </w:p>
    <w:p>
      <w:pPr>
        <w:pStyle w:val="ListParagraph"/>
        <w:numPr>
          <w:ilvl w:val="0"/>
          <w:numId w:val="1"/>
        </w:numPr>
        <w:spacing w:after="80"/>
      </w:pPr>
      <w:r>
        <w:rPr>
          <w:rFonts w:ascii="Times New Roman" w:cs="Times New Roman" w:eastAsia="Times New Roman" w:hAnsi="Times New Roman"/>
          <w:color w:val="1F2937"/>
          <w:sz w:val="22"/>
          <w:szCs w:val="22"/>
        </w:rPr>
        <w:t xml:space="preserve">Construis un tableau à deux colonnes : Trekchö / Tögal. Pour chaque pratique, renseigne : (a) métaphore centrale, (b) rapport aux phénomènes, (c) ce que le pratiquant fait avec ses perceptions, (d) fruit principal.</w:t>
      </w:r>
    </w:p>
    <w:p>
      <w:pPr>
        <w:pStyle w:val="ListParagraph"/>
        <w:numPr>
          <w:ilvl w:val="0"/>
          <w:numId w:val="1"/>
        </w:numPr>
        <w:spacing w:after="80"/>
      </w:pPr>
      <w:r>
        <w:rPr>
          <w:rFonts w:ascii="Times New Roman" w:cs="Times New Roman" w:eastAsia="Times New Roman" w:hAnsi="Times New Roman"/>
          <w:color w:val="1F2937"/>
          <w:sz w:val="22"/>
          <w:szCs w:val="22"/>
        </w:rPr>
        <w:t xml:space="preserve">À partir du tableau, formule en une phrase la relation entre les deux pratiques — sont-elles séquentielles ? Complémentaires ? Opposées ?</w:t>
      </w:r>
    </w:p>
    <w:p>
      <w:pPr>
        <w:spacing w:after="120"/>
      </w:pPr>
      <w:r>
        <w:rPr>
          <w:rFonts w:ascii="Times New Roman" w:cs="Times New Roman" w:eastAsia="Times New Roman" w:hAnsi="Times New Roman"/>
          <w:color w:val="1F2937"/>
          <w:sz w:val="22"/>
          <w:szCs w:val="22"/>
        </w:rPr>
        <w:t xml:space="preserve">Corrigé indicatif :</w:t>
      </w:r>
    </w:p>
    <w:p>
      <w:pPr>
        <w:shd w:fill="F3F4F6" w:color="auto" w:val="clear"/>
        <w:spacing w:after="120"/>
        <w:ind w:left="480"/>
      </w:pPr>
      <w:r>
        <w:rPr>
          <w:rFonts w:ascii="Times New Roman" w:cs="Times New Roman" w:eastAsia="Times New Roman" w:hAnsi="Times New Roman"/>
          <w:i/>
          <w:iCs/>
          <w:color w:val="1B3A6B"/>
          <w:sz w:val="22"/>
          <w:szCs w:val="22"/>
        </w:rPr>
        <w:t xml:space="preserve">Trekchö : la coupe nette — dissolution des constructions mentales en reconnaissant leur nature vide. Les phénomènes ne sont pas supprimés, mais leur saisissement est tranché. Fruit : kaya de la dharmata.</w:t>
      </w:r>
    </w:p>
    <w:p>
      <w:pPr>
        <w:shd w:fill="F3F4F6" w:color="auto" w:val="clear"/>
        <w:spacing w:after="120"/>
        <w:ind w:left="480"/>
      </w:pPr>
      <w:r>
        <w:rPr>
          <w:rFonts w:ascii="Times New Roman" w:cs="Times New Roman" w:eastAsia="Times New Roman" w:hAnsi="Times New Roman"/>
          <w:i/>
          <w:iCs/>
          <w:color w:val="1B3A6B"/>
          <w:sz w:val="22"/>
          <w:szCs w:val="22"/>
        </w:rPr>
        <w:t xml:space="preserve">Tögal : le franchissement direct — révélation de la dimension spontanée (lhundrub) de la rigpa à travers des visions lumineuses. Les phénomènes s'intensifient puis s'épuisent. Fruit : corps arc-en-ciel.</w:t>
      </w:r>
    </w:p>
    <w:p>
      <w:pPr>
        <w:shd w:fill="F3F4F6" w:color="auto" w:val="clear"/>
        <w:spacing w:after="120"/>
        <w:ind w:left="480"/>
      </w:pPr>
      <w:r>
        <w:rPr>
          <w:rFonts w:ascii="Times New Roman" w:cs="Times New Roman" w:eastAsia="Times New Roman" w:hAnsi="Times New Roman"/>
          <w:i/>
          <w:iCs/>
          <w:color w:val="1B3A6B"/>
          <w:sz w:val="22"/>
          <w:szCs w:val="22"/>
        </w:rPr>
        <w:t xml:space="preserve">Relation : séquentielle dans la tradition (trekchö d'abord, tögal ensuite) et complémentaire — trekchö établit la vacuité, tögal révèle la clarté spontanée. Les deux faces de la base (gzhi) : pureté primordiale (ka dag) et spontanéité (lhun grub).</w:t>
      </w:r>
    </w:p>
    <w:p>
      <w:pPr>
        <w:pBdr>
          <w:bottom w:val="single" w:color="1B3A6B" w:sz="4" w:space="1"/>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Challenge — Lecture et questionnement critique</w:t>
      </w:r>
    </w:p>
    <w:p>
      <w:pPr>
        <w:spacing w:after="120"/>
      </w:pPr>
      <w:r>
        <w:rPr>
          <w:rFonts w:ascii="Times New Roman" w:cs="Times New Roman" w:eastAsia="Times New Roman" w:hAnsi="Times New Roman"/>
          <w:color w:val="1F2937"/>
          <w:sz w:val="22"/>
          <w:szCs w:val="22"/>
        </w:rPr>
        <w:t xml:space="preserve">Durée estimée : 45 min.</w:t>
      </w:r>
    </w:p>
    <w:p>
      <w:pPr>
        <w:spacing w:after="120"/>
      </w:pPr>
      <w:r>
        <w:rPr>
          <w:rFonts w:ascii="Times New Roman" w:cs="Times New Roman" w:eastAsia="Times New Roman" w:hAnsi="Times New Roman"/>
          <w:color w:val="1F2937"/>
          <w:sz w:val="22"/>
          <w:szCs w:val="22"/>
        </w:rPr>
        <w:t xml:space="preserve">La leçon 7 (Tögal — le franchissement direct) t'a introduit à la pratique dans ses grandes lignes. La leçon 12 en décompose la progression interne. Relis tes notes de leçon 7 et réponds aux questions suivantes :</w:t>
      </w:r>
    </w:p>
    <w:p>
      <w:pPr>
        <w:pStyle w:val="ListParagraph"/>
        <w:numPr>
          <w:ilvl w:val="0"/>
          <w:numId w:val="1"/>
        </w:numPr>
        <w:spacing w:after="80"/>
      </w:pPr>
      <w:r>
        <w:rPr>
          <w:rFonts w:ascii="Times New Roman" w:cs="Times New Roman" w:eastAsia="Times New Roman" w:hAnsi="Times New Roman"/>
          <w:color w:val="1F2937"/>
          <w:sz w:val="22"/>
          <w:szCs w:val="22"/>
        </w:rPr>
        <w:t xml:space="preserve">Quels éléments de la leçon 7 prenaient tout leur sens une fois que tu connais les quatre visions ?</w:t>
      </w:r>
    </w:p>
    <w:p>
      <w:pPr>
        <w:pStyle w:val="ListParagraph"/>
        <w:numPr>
          <w:ilvl w:val="0"/>
          <w:numId w:val="1"/>
        </w:numPr>
        <w:spacing w:after="80"/>
      </w:pPr>
      <w:r>
        <w:rPr>
          <w:rFonts w:ascii="Times New Roman" w:cs="Times New Roman" w:eastAsia="Times New Roman" w:hAnsi="Times New Roman"/>
          <w:color w:val="1F2937"/>
          <w:sz w:val="22"/>
          <w:szCs w:val="22"/>
        </w:rPr>
        <w:t xml:space="preserve">Y a-t-il des affirmations de la leçon 7 que tu nuancerais ou corrigerais à la lumière de ce que tu sais maintenant ?</w:t>
      </w:r>
    </w:p>
    <w:p>
      <w:pPr>
        <w:pStyle w:val="ListParagraph"/>
        <w:numPr>
          <w:ilvl w:val="0"/>
          <w:numId w:val="1"/>
        </w:numPr>
        <w:spacing w:after="80"/>
      </w:pPr>
      <w:r>
        <w:rPr>
          <w:rFonts w:ascii="Times New Roman" w:cs="Times New Roman" w:eastAsia="Times New Roman" w:hAnsi="Times New Roman"/>
          <w:color w:val="1F2937"/>
          <w:sz w:val="22"/>
          <w:szCs w:val="22"/>
        </w:rPr>
        <w:t xml:space="preserve">La leçon 12 introduit la notion de « reconnaissance » à chaque stade. Comment cela modifie-t-il ta compréhension de ce qu'est la « pratique » dans le tögal ?</w:t>
      </w:r>
    </w:p>
    <w:p>
      <w:pPr>
        <w:pStyle w:val="ListParagraph"/>
        <w:numPr>
          <w:ilvl w:val="0"/>
          <w:numId w:val="1"/>
        </w:numPr>
        <w:spacing w:after="80"/>
      </w:pPr>
      <w:r>
        <w:rPr>
          <w:rFonts w:ascii="Times New Roman" w:cs="Times New Roman" w:eastAsia="Times New Roman" w:hAnsi="Times New Roman"/>
          <w:color w:val="1F2937"/>
          <w:sz w:val="22"/>
          <w:szCs w:val="22"/>
        </w:rPr>
        <w:t xml:space="preserve">Formule une question que cette leçon n'a pas répondue et que tu aimerais explorer dans les leçons suivantes.</w:t>
      </w:r>
    </w:p>
    <w:p>
      <w:pPr>
        <w:spacing w:after="120"/>
      </w:pPr>
      <w:r>
        <w:rPr>
          <w:rFonts w:ascii="Times New Roman" w:cs="Times New Roman" w:eastAsia="Times New Roman" w:hAnsi="Times New Roman"/>
          <w:color w:val="1F2937"/>
          <w:sz w:val="22"/>
          <w:szCs w:val="22"/>
        </w:rPr>
        <w:t xml:space="preserve">Objectif du challenge : ne pas accumuler des connaissances en parallèle, mais tisser des liens actifs entre les leçons du parcours.</w:t>
      </w:r>
    </w:p>
    <w:p>
      <w:pPr>
        <w:pBdr>
          <w:bottom w:val="single" w:color="1B3A6B" w:sz="4" w:space="1"/>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Pont pro (optionnel)</w:t>
      </w:r>
    </w:p>
    <w:p>
      <w:pPr>
        <w:spacing w:after="120"/>
      </w:pPr>
      <w:r>
        <w:rPr>
          <w:rFonts w:ascii="Times New Roman" w:cs="Times New Roman" w:eastAsia="Times New Roman" w:hAnsi="Times New Roman"/>
          <w:color w:val="1F2937"/>
          <w:sz w:val="22"/>
          <w:szCs w:val="22"/>
        </w:rPr>
        <w:t xml:space="preserve">La progression en quatre visions évoque une forme de cartographie de l'expérience : nommer les stades permet de s'y repérer sans se perdre. Dans l'accompagnement des personnes en situation de handicap psychique, la capacité à distinguer des états et à en reconnaître les signaux est une compétence professionnelle clé — que ce soit pour l'équipe (repérage des transitions comportementales) ou pour la personne elle-même (autodétermination, connaissance de soi). La rigueur de la cartographie dzogchen n'est pas exportable telle quelle, mais sa méthode — nommer, ordonner, reconnaître — l'est.</w:t>
      </w:r>
    </w:p>
    <w:p>
      <w:pPr>
        <w:pBdr>
          <w:bottom w:val="single" w:color="1B3A6B" w:sz="4" w:space="1"/>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Ressources cliquables</w:t>
      </w:r>
    </w:p>
    <w:p>
      <w:pPr>
        <w:spacing w:after="120"/>
      </w:pPr>
      <w:r>
        <w:rPr>
          <w:rFonts w:ascii="Times New Roman" w:cs="Times New Roman" w:eastAsia="Times New Roman" w:hAnsi="Times New Roman"/>
          <w:color w:val="1F2937"/>
          <w:sz w:val="22"/>
          <w:szCs w:val="22"/>
        </w:rPr>
        <w:t xml:space="preserve">Sources consultées et vérifiées pendant cette exécution (HTTP 200) :</w:t>
      </w:r>
    </w:p>
    <w:p>
      <w:pPr>
        <w:spacing w:after="120"/>
      </w:pPr>
      <w:hyperlink w:history="1" r:id="rIdak4d7xbonm6cr_wm_hwrb">
        <w:r>
          <w:rPr>
            <w:rFonts w:ascii="Times New Roman" w:cs="Times New Roman" w:eastAsia="Times New Roman" w:hAnsi="Times New Roman"/>
            <w:color w:val="1155CC"/>
            <w:sz w:val="22"/>
            <w:szCs w:val="22"/>
            <w:u w:val="single"/>
          </w:rPr>
          <w:t xml:space="preserve">Wikipedia — Tögal</w:t>
        </w:r>
      </w:hyperlink>
      <w:r>
        <w:rPr>
          <w:rFonts w:ascii="Times New Roman" w:cs="Times New Roman" w:eastAsia="Times New Roman" w:hAnsi="Times New Roman"/>
          <w:color w:val="1F2937"/>
          <w:sz w:val="22"/>
          <w:szCs w:val="22"/>
        </w:rPr>
        <w:t xml:space="preserve"> — Présentation encyclopédique du tögal, avec les quatre visions en tibétain (Wylie) et leur description. Source principale pour les noms et la progression.</w:t>
      </w:r>
    </w:p>
    <w:p>
      <w:pPr>
        <w:spacing w:after="120"/>
      </w:pPr>
      <w:hyperlink w:history="1" r:id="rIdo9fndz9jfs-zc3up1puaa">
        <w:r>
          <w:rPr>
            <w:rFonts w:ascii="Times New Roman" w:cs="Times New Roman" w:eastAsia="Times New Roman" w:hAnsi="Times New Roman"/>
            <w:color w:val="1155CC"/>
            <w:sz w:val="22"/>
            <w:szCs w:val="22"/>
            <w:u w:val="single"/>
          </w:rPr>
          <w:t xml:space="preserve">Lotsawa House — Illuminating the Excellent Path to Omniscience (Jamyang Khyentse Wangpo)</w:t>
        </w:r>
      </w:hyperlink>
      <w:r>
        <w:rPr>
          <w:rFonts w:ascii="Times New Roman" w:cs="Times New Roman" w:eastAsia="Times New Roman" w:hAnsi="Times New Roman"/>
          <w:color w:val="1F2937"/>
          <w:sz w:val="22"/>
          <w:szCs w:val="22"/>
        </w:rPr>
        <w:t xml:space="preserve"> — Texte tibétain traduit mentionnant la 3e vision (rig pa tshad phebs) dans son contexte liturgique.</w:t>
      </w:r>
    </w:p>
    <w:p>
      <w:pPr>
        <w:spacing w:after="120"/>
      </w:pPr>
      <w:hyperlink w:history="1" r:id="rIdplzskilqxmmpvz6rptuzo">
        <w:r>
          <w:rPr>
            <w:rFonts w:ascii="Times New Roman" w:cs="Times New Roman" w:eastAsia="Times New Roman" w:hAnsi="Times New Roman"/>
            <w:color w:val="1155CC"/>
            <w:sz w:val="22"/>
            <w:szCs w:val="22"/>
            <w:u w:val="single"/>
          </w:rPr>
          <w:t xml:space="preserve">Lotsawa House — Dzogchen (index thématique)</w:t>
        </w:r>
      </w:hyperlink>
      <w:r>
        <w:rPr>
          <w:rFonts w:ascii="Times New Roman" w:cs="Times New Roman" w:eastAsia="Times New Roman" w:hAnsi="Times New Roman"/>
          <w:color w:val="1F2937"/>
          <w:sz w:val="22"/>
          <w:szCs w:val="22"/>
        </w:rPr>
        <w:t xml:space="preserve"> — Index des textes traduits sur le dzogchen, incluant des références au tögal et au corps arc-en-ciel.</w:t>
      </w:r>
    </w:p>
    <w:p>
      <w:pPr>
        <w:spacing w:after="120"/>
      </w:pPr>
      <w:hyperlink w:history="1" r:id="rId4fkxtc5brqjagmairbhvn">
        <w:r>
          <w:rPr>
            <w:rFonts w:ascii="Times New Roman" w:cs="Times New Roman" w:eastAsia="Times New Roman" w:hAnsi="Times New Roman"/>
            <w:color w:val="1155CC"/>
            <w:sz w:val="22"/>
            <w:szCs w:val="22"/>
            <w:u w:val="single"/>
          </w:rPr>
          <w:t xml:space="preserve">Dzogchen Explorations — Notes sur le thodgal (Lopon Tenzin Namdak)</w:t>
        </w:r>
      </w:hyperlink>
      <w:r>
        <w:rPr>
          <w:rFonts w:ascii="Times New Roman" w:cs="Times New Roman" w:eastAsia="Times New Roman" w:hAnsi="Times New Roman"/>
          <w:color w:val="1F2937"/>
          <w:sz w:val="22"/>
          <w:szCs w:val="22"/>
        </w:rPr>
        <w:t xml:space="preserve"> — Notes de pratique de Lopon Tenzin Namdak et Tenzin Wangyal sur les conditions d'émergence des quatre visions.</w:t>
      </w:r>
    </w:p>
    <w:p>
      <w:pPr>
        <w:spacing w:after="120"/>
      </w:pPr>
      <w:r>
        <w:rPr>
          <w:rFonts w:ascii="Times New Roman" w:cs="Times New Roman" w:eastAsia="Times New Roman" w:hAnsi="Times New Roman"/>
          <w:color w:val="1F2937"/>
          <w:sz w:val="22"/>
          <w:szCs w:val="22"/>
        </w:rPr>
        <w:t xml:space="preserve">Sources inaccessibles lors de cette exécution :</w:t>
      </w:r>
    </w:p>
    <w:p>
      <w:pPr>
        <w:pStyle w:val="ListParagraph"/>
        <w:numPr>
          <w:ilvl w:val="0"/>
          <w:numId w:val="1"/>
        </w:numPr>
        <w:spacing w:after="80"/>
      </w:pPr>
      <w:r>
        <w:rPr>
          <w:rFonts w:ascii="Times New Roman" w:cs="Times New Roman" w:eastAsia="Times New Roman" w:hAnsi="Times New Roman"/>
          <w:color w:val="1F2937"/>
          <w:sz w:val="22"/>
          <w:szCs w:val="22"/>
        </w:rPr>
        <w:t xml:space="preserve">⛔ Rigpa Wiki / Four visions (403)</w:t>
      </w:r>
    </w:p>
    <w:p>
      <w:pPr>
        <w:pStyle w:val="ListParagraph"/>
        <w:numPr>
          <w:ilvl w:val="0"/>
          <w:numId w:val="1"/>
        </w:numPr>
        <w:spacing w:after="80"/>
      </w:pPr>
      <w:r>
        <w:rPr>
          <w:rFonts w:ascii="Times New Roman" w:cs="Times New Roman" w:eastAsia="Times New Roman" w:hAnsi="Times New Roman"/>
          <w:color w:val="1F2937"/>
          <w:sz w:val="22"/>
          <w:szCs w:val="22"/>
        </w:rPr>
        <w:t xml:space="preserve">⛔ Rigpa Wiki / Tögal (403)</w:t>
      </w:r>
    </w:p>
    <w:p>
      <w:pPr>
        <w:pStyle w:val="ListParagraph"/>
        <w:numPr>
          <w:ilvl w:val="0"/>
          <w:numId w:val="1"/>
        </w:numPr>
        <w:spacing w:after="80"/>
      </w:pPr>
      <w:r>
        <w:rPr>
          <w:rFonts w:ascii="Times New Roman" w:cs="Times New Roman" w:eastAsia="Times New Roman" w:hAnsi="Times New Roman"/>
          <w:color w:val="1F2937"/>
          <w:sz w:val="22"/>
          <w:szCs w:val="22"/>
        </w:rPr>
        <w:t xml:space="preserve">⛔ StudyBuddhism.com / Dzogchen (404 — page déplacée)</w:t>
      </w:r>
    </w:p>
    <w:p>
      <w:pPr>
        <w:pBdr>
          <w:bottom w:val="single" w:color="1B3A6B" w:sz="4" w:space="1"/>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Prochaine leçon</w:t>
      </w:r>
    </w:p>
    <w:p>
      <w:pPr>
        <w:spacing w:after="120"/>
      </w:pPr>
      <w:r>
        <w:rPr>
          <w:rFonts w:ascii="Times New Roman" w:cs="Times New Roman" w:eastAsia="Times New Roman" w:hAnsi="Times New Roman"/>
          <w:color w:val="1F2937"/>
          <w:sz w:val="22"/>
          <w:szCs w:val="22"/>
        </w:rPr>
        <w:t xml:space="preserve">Leçon 13 / 20 — Les bardos et le processus de la mort</w:t>
      </w:r>
    </w:p>
    <w:p>
      <w:pPr>
        <w:spacing w:after="120"/>
      </w:pPr>
      <w:r>
        <w:rPr>
          <w:rFonts w:ascii="Times New Roman" w:cs="Times New Roman" w:eastAsia="Times New Roman" w:hAnsi="Times New Roman"/>
          <w:color w:val="1F2937"/>
          <w:sz w:val="22"/>
          <w:szCs w:val="22"/>
        </w:rPr>
        <w:t xml:space="preserve">Les quatre visions du tögal ne sont pas seulement une cartographie de la pratique de la vie : elles préparent directement à la traversée du bardo. La tradition dzogchen décrit le bardo de la dharmata (chos nyid bardo) comme une réplication naturelle de ce que le pratiquant du tögal apprend à reconnaître de son vivant. La leçon 13 examinera la structure des bardos, les enseignements du Bardo Thödol et leur rapport au dzogchen.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k4d7xbonm6cr_wm_hwrb" Type="http://schemas.openxmlformats.org/officeDocument/2006/relationships/hyperlink" Target="https://en.wikipedia.org/wiki/T%C3%B6gal" TargetMode="External"/><Relationship Id="rIdo9fndz9jfs-zc3up1puaa" Type="http://schemas.openxmlformats.org/officeDocument/2006/relationships/hyperlink" Target="https://www.lotsawahouse.org/tibetan-masters/jamyang-khyentse-wangpo/illuminating-excellent-path" TargetMode="External"/><Relationship Id="rIdplzskilqxmmpvz6rptuzo" Type="http://schemas.openxmlformats.org/officeDocument/2006/relationships/hyperlink" Target="https://www.lotsawahouse.org/topics/dzogchen/" TargetMode="External"/><Relationship Id="rId4fkxtc5brqjagmairbhvn" Type="http://schemas.openxmlformats.org/officeDocument/2006/relationships/hyperlink" Target="http://dzogchenexplorations.blogspot.com/2013/10/thodgal-notes.html"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2026-08-18T06:07:44.587Z</dcterms:created>
  <dcterms:modified xsi:type="dcterms:W3CDTF">2026-08-18T06:07:44.787Z</dcterms:modified>
</cp:coreProperties>
</file>

<file path=docProps/custom.xml><?xml version="1.0" encoding="utf-8"?>
<Properties xmlns="http://schemas.openxmlformats.org/officeDocument/2006/custom-properties" xmlns:vt="http://schemas.openxmlformats.org/officeDocument/2006/docPropsVTypes"/>
</file>