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color w:val="1B3A6B"/>
          <w:sz w:val="52"/>
          <w:szCs w:val="52"/>
        </w:rPr>
        <w:t xml:space="preserve">Leçon Psychopathologie clinique n°05 — Les troubles anxieux</w:t>
      </w:r>
    </w:p>
    <w:p>
      <w:pPr>
        <w:spacing w:after="240"/>
        <w:jc w:val="center"/>
      </w:pPr>
      <w:r>
        <w:rPr>
          <w:rFonts w:ascii="Times New Roman" w:cs="Times New Roman" w:eastAsia="Times New Roman" w:hAnsi="Times New Roman"/>
          <w:b w:val="false"/>
          <w:bCs w:val="false"/>
          <w:i/>
          <w:iCs/>
          <w:color w:val="1B3A6B"/>
          <w:sz w:val="22"/>
          <w:szCs w:val="22"/>
        </w:rPr>
        <w:t xml:space="preserve">13 juillet 2026 · Module Clinique — leçon 05</w:t>
      </w:r>
    </w:p>
    <w:p>
      <w:pPr>
        <w:spacing w:after="120" w:before="260"/>
      </w:pPr>
      <w:r>
        <w:rPr>
          <w:rFonts w:ascii="Times New Roman" w:cs="Times New Roman" w:eastAsia="Times New Roman" w:hAnsi="Times New Roman"/>
          <w:b/>
          <w:bCs/>
          <w:i w:val="false"/>
          <w:iCs w:val="false"/>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sauras distinguer l'anxiété normale de l'anxiété pathologique et reconnaître les grands troubles anxieux : anxiété généralisée (TAG), phobies, trouble panique, et TOC (que la CIM-11 classe désormais à part). Objectif : mieux observer et orienter, jamais diagnostiquer.</w:t>
      </w:r>
    </w:p>
    <w:p>
      <w:pPr>
        <w:spacing w:after="120"/>
      </w:pPr>
      <w:r>
        <w:rPr>
          <w:rFonts w:ascii="Times New Roman" w:cs="Times New Roman" w:eastAsia="Times New Roman" w:hAnsi="Times New Roman"/>
          <w:b w:val="false"/>
          <w:bCs w:val="false"/>
          <w:i w:val="false"/>
          <w:iCs w:val="false"/>
          <w:color w:val="1F2937"/>
          <w:sz w:val="22"/>
          <w:szCs w:val="22"/>
        </w:rPr>
        <w:t xml:space="preserve">Rappel de continuité : </w:t>
      </w:r>
      <w:r>
        <w:rPr>
          <w:rFonts w:ascii="Times New Roman" w:cs="Times New Roman" w:eastAsia="Times New Roman" w:hAnsi="Times New Roman"/>
          <w:b w:val="false"/>
          <w:bCs w:val="false"/>
          <w:i w:val="false"/>
          <w:iCs w:val="false"/>
          <w:color w:val="1F2937"/>
          <w:sz w:val="22"/>
          <w:szCs w:val="22"/>
        </w:rPr>
        <w:t xml:space="preserve">la leçon n°04 portait sur </w:t>
      </w:r>
      <w:r>
        <w:rPr>
          <w:rFonts w:ascii="Times New Roman" w:cs="Times New Roman" w:eastAsia="Times New Roman" w:hAnsi="Times New Roman"/>
          <w:b/>
          <w:bCs/>
          <w:i w:val="false"/>
          <w:iCs w:val="false"/>
          <w:color w:val="1F2937"/>
          <w:sz w:val="22"/>
          <w:szCs w:val="22"/>
        </w:rPr>
        <w:t xml:space="preserve">l'entretien clinique et l'examen de l'état mental</w:t>
      </w:r>
      <w:r>
        <w:rPr>
          <w:rFonts w:ascii="Times New Roman" w:cs="Times New Roman" w:eastAsia="Times New Roman" w:hAnsi="Times New Roman"/>
          <w:b w:val="false"/>
          <w:bCs w:val="false"/>
          <w:i w:val="false"/>
          <w:iCs w:val="false"/>
          <w:color w:val="1F2937"/>
          <w:sz w:val="22"/>
          <w:szCs w:val="22"/>
        </w:rPr>
        <w:t xml:space="preserve">. On applique maintenant cette capacité d'observation à une première grande famille de troubles — les troubles anxieux, parmi les plus fréquents.</w:t>
      </w:r>
    </w:p>
    <w:p>
      <w:pPr>
        <w:spacing w:after="120" w:before="260"/>
      </w:pPr>
      <w:r>
        <w:rPr>
          <w:rFonts w:ascii="Times New Roman" w:cs="Times New Roman" w:eastAsia="Times New Roman" w:hAnsi="Times New Roman"/>
          <w:b/>
          <w:bCs/>
          <w:i w:val="false"/>
          <w:iCs w:val="false"/>
          <w:color w:val="1B3A6B"/>
          <w:sz w:val="30"/>
          <w:szCs w:val="30"/>
        </w:rPr>
        <w:t xml:space="preserve">⚖️ Cadre déontologique</w:t>
      </w:r>
    </w:p>
    <w:p>
      <w:pPr>
        <w:spacing w:after="120"/>
      </w:pPr>
      <w:r>
        <w:rPr>
          <w:rFonts w:ascii="Times New Roman" w:cs="Times New Roman" w:eastAsia="Times New Roman" w:hAnsi="Times New Roman"/>
          <w:b/>
          <w:bCs/>
          <w:i w:val="false"/>
          <w:iCs w:val="false"/>
          <w:color w:val="1F2937"/>
          <w:sz w:val="22"/>
          <w:szCs w:val="22"/>
        </w:rPr>
        <w:t xml:space="preserve">Ces repères servent à </w:t>
      </w:r>
      <w:r>
        <w:rPr>
          <w:rFonts w:ascii="Times New Roman" w:cs="Times New Roman" w:eastAsia="Times New Roman" w:hAnsi="Times New Roman"/>
          <w:b/>
          <w:bCs/>
          <w:i w:val="false"/>
          <w:iCs w:val="false"/>
          <w:color w:val="1F2937"/>
          <w:sz w:val="22"/>
          <w:szCs w:val="22"/>
        </w:rPr>
        <w:t xml:space="preserve">comprendre, observer et orienter</w:t>
      </w:r>
      <w:r>
        <w:rPr>
          <w:rFonts w:ascii="Times New Roman" w:cs="Times New Roman" w:eastAsia="Times New Roman" w:hAnsi="Times New Roman"/>
          <w:b w:val="false"/>
          <w:bCs w:val="false"/>
          <w:i w:val="false"/>
          <w:iCs w:val="false"/>
          <w:color w:val="1F2937"/>
          <w:sz w:val="22"/>
          <w:szCs w:val="22"/>
        </w:rPr>
        <w:t xml:space="preserve"> — jamais à poser un diagnostic, acte réservé aux médecins psychiatres et psychologues cliniciens. Posture non stigmatisante, centrée sur la personne et le rétablissement.</w:t>
      </w:r>
    </w:p>
    <w:p>
      <w:pPr>
        <w:spacing w:after="120" w:before="260"/>
      </w:pPr>
      <w:r>
        <w:rPr>
          <w:rFonts w:ascii="Times New Roman" w:cs="Times New Roman" w:eastAsia="Times New Roman" w:hAnsi="Times New Roman"/>
          <w:b/>
          <w:bCs/>
          <w:i w:val="false"/>
          <w:iCs w:val="false"/>
          <w:color w:val="1B3A6B"/>
          <w:sz w:val="30"/>
          <w:szCs w:val="30"/>
        </w:rPr>
        <w:t xml:space="preserve">🔬 Théorie (20%)</w:t>
      </w:r>
    </w:p>
    <w:p>
      <w:pPr>
        <w:spacing w:after="80" w:before="160"/>
      </w:pPr>
      <w:r>
        <w:rPr>
          <w:rFonts w:ascii="Times New Roman" w:cs="Times New Roman" w:eastAsia="Times New Roman" w:hAnsi="Times New Roman"/>
          <w:b/>
          <w:bCs/>
          <w:i w:val="false"/>
          <w:iCs w:val="false"/>
          <w:color w:val="1F2937"/>
          <w:sz w:val="26"/>
          <w:szCs w:val="26"/>
        </w:rPr>
        <w:t xml:space="preserve">Anxiété normale vs pathologique</w:t>
      </w:r>
    </w:p>
    <w:p>
      <w:pPr>
        <w:spacing w:after="120"/>
      </w:pPr>
      <w:r>
        <w:rPr>
          <w:rFonts w:ascii="Times New Roman" w:cs="Times New Roman" w:eastAsia="Times New Roman" w:hAnsi="Times New Roman"/>
          <w:b w:val="false"/>
          <w:bCs w:val="false"/>
          <w:i w:val="false"/>
          <w:iCs w:val="false"/>
          <w:color w:val="1F2937"/>
          <w:sz w:val="22"/>
          <w:szCs w:val="22"/>
        </w:rPr>
        <w:t xml:space="preserve">L'anxiété est une émotion adaptative : elle mobilise face au danger. Elle devient pathologique quand elle est disproportionnée, durable, incontrôlable, et qu'elle entraîne une souffrance et un retentissement (évitements, retrait, altération du fonctionnement). Ce sont les trois critères vus en leçon n°02 : souffrance, durée, retentissement.</w:t>
      </w:r>
    </w:p>
    <w:p>
      <w:pPr>
        <w:spacing w:after="80" w:before="160"/>
      </w:pPr>
      <w:r>
        <w:rPr>
          <w:rFonts w:ascii="Times New Roman" w:cs="Times New Roman" w:eastAsia="Times New Roman" w:hAnsi="Times New Roman"/>
          <w:b/>
          <w:bCs/>
          <w:i w:val="false"/>
          <w:iCs w:val="false"/>
          <w:color w:val="1F2937"/>
          <w:sz w:val="26"/>
          <w:szCs w:val="26"/>
        </w:rPr>
        <w:t xml:space="preserve">Les principaux troubles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Anxiété généralisée (TAG) : </w:t>
      </w:r>
      <w:r>
        <w:rPr>
          <w:rFonts w:ascii="Times New Roman" w:cs="Times New Roman" w:eastAsia="Times New Roman" w:hAnsi="Times New Roman"/>
          <w:b w:val="false"/>
          <w:bCs w:val="false"/>
          <w:i w:val="false"/>
          <w:iCs w:val="false"/>
          <w:color w:val="1F2937"/>
          <w:sz w:val="22"/>
          <w:szCs w:val="22"/>
        </w:rPr>
        <w:t xml:space="preserve">inquiétude excessive et diffuse, « à propos de tout », la plupart du temps pendant au moins plusieurs mois, avec tension, fatigue, troubles du sommeil et de la concentration.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Phobies spécifiques et phobie sociale : </w:t>
      </w:r>
      <w:r>
        <w:rPr>
          <w:rFonts w:ascii="Times New Roman" w:cs="Times New Roman" w:eastAsia="Times New Roman" w:hAnsi="Times New Roman"/>
          <w:b w:val="false"/>
          <w:bCs w:val="false"/>
          <w:i w:val="false"/>
          <w:iCs w:val="false"/>
          <w:color w:val="1F2937"/>
          <w:sz w:val="22"/>
          <w:szCs w:val="22"/>
        </w:rPr>
        <w:t xml:space="preserve">peur intense et irrationnelle d'un objet/situation, avec évitement. La phobie sociale porte sur le regard et le jugement d'autrui.</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Trouble panique : </w:t>
      </w:r>
      <w:r>
        <w:rPr>
          <w:rFonts w:ascii="Times New Roman" w:cs="Times New Roman" w:eastAsia="Times New Roman" w:hAnsi="Times New Roman"/>
          <w:b w:val="false"/>
          <w:bCs w:val="false"/>
          <w:i w:val="false"/>
          <w:iCs w:val="false"/>
          <w:color w:val="1F2937"/>
          <w:sz w:val="22"/>
          <w:szCs w:val="22"/>
        </w:rPr>
        <w:t xml:space="preserve">attaques de panique récurrentes et inattendues (montée brutale de peur avec symptômes physiques : palpitations, souffle court, vertiges) et peur anticipatoire d'en refaire.</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bCs/>
          <w:i w:val="false"/>
          <w:iCs w:val="false"/>
          <w:color w:val="1F2937"/>
          <w:sz w:val="22"/>
          <w:szCs w:val="22"/>
        </w:rPr>
        <w:t xml:space="preserve">TOC (trouble obsessionnel-compulsif) : </w:t>
      </w:r>
      <w:r>
        <w:rPr>
          <w:rFonts w:ascii="Times New Roman" w:cs="Times New Roman" w:eastAsia="Times New Roman" w:hAnsi="Times New Roman"/>
          <w:b w:val="false"/>
          <w:bCs w:val="false"/>
          <w:i w:val="false"/>
          <w:iCs w:val="false"/>
          <w:color w:val="1F2937"/>
          <w:sz w:val="22"/>
          <w:szCs w:val="22"/>
        </w:rPr>
        <w:t xml:space="preserve">obsessions (pensées intrusives anxiogènes) et compulsions (rituels destinés à réduire l'angoisse). Dans la CIM-11, le TOC ne fait plus partie des troubles anxieux mais d'un groupe apparenté (« TOC et troubles apparentés »).</w:t>
      </w:r>
    </w:p>
    <w:p>
      <w:pPr>
        <w:pBdr>
          <w:left w:val="single" w:color="1B3A6B" w:sz="18" w:space="8"/>
        </w:pBdr>
        <w:shd w:fill="EEF2F7"/>
        <w:spacing w:after="140" w:before="100"/>
        <w:ind w:left="360"/>
      </w:pPr>
      <w:r>
        <w:rPr>
          <w:rFonts w:ascii="Times New Roman" w:cs="Times New Roman" w:eastAsia="Times New Roman" w:hAnsi="Times New Roman"/>
          <w:b w:val="false"/>
          <w:bCs w:val="false"/>
          <w:i/>
          <w:iCs/>
          <w:color w:val="1B3A6B"/>
          <w:sz w:val="22"/>
          <w:szCs w:val="22"/>
        </w:rPr>
        <w:t xml:space="preserve">Le retentissement fonctionnel — et non la seule intensité du symptôme — est ce qui fait basculer une réaction émotionnelle normale vers le trouble.</w:t>
      </w:r>
      <w:r>
        <w:rPr>
          <w:rFonts w:ascii="Times New Roman" w:cs="Times New Roman" w:eastAsia="Times New Roman" w:hAnsi="Times New Roman"/>
          <w:b w:val="false"/>
          <w:bCs w:val="false"/>
          <w:i/>
          <w:iCs/>
          <w:color w:val="1B3A6B"/>
          <w:sz w:val="20"/>
          <w:szCs w:val="20"/>
        </w:rPr>
        <w:t xml:space="preserve">  — Repère clinique (critères souffrance / durée / retentissement)</w:t>
      </w:r>
    </w:p>
    <w:p>
      <w:pPr>
        <w:spacing w:after="80" w:before="160"/>
      </w:pPr>
      <w:r>
        <w:rPr>
          <w:rFonts w:ascii="Times New Roman" w:cs="Times New Roman" w:eastAsia="Times New Roman" w:hAnsi="Times New Roman"/>
          <w:b/>
          <w:bCs/>
          <w:i w:val="false"/>
          <w:iCs w:val="false"/>
          <w:color w:val="1F2937"/>
          <w:sz w:val="26"/>
          <w:szCs w:val="26"/>
        </w:rPr>
        <w:t xml:space="preserve">Comprendre les mécanismes</w:t>
      </w:r>
    </w:p>
    <w:p>
      <w:pPr>
        <w:spacing w:after="120"/>
      </w:pPr>
      <w:r>
        <w:rPr>
          <w:rFonts w:ascii="Times New Roman" w:cs="Times New Roman" w:eastAsia="Times New Roman" w:hAnsi="Times New Roman"/>
          <w:b w:val="false"/>
          <w:bCs w:val="false"/>
          <w:i w:val="false"/>
          <w:iCs w:val="false"/>
          <w:color w:val="1F2937"/>
          <w:sz w:val="22"/>
          <w:szCs w:val="22"/>
        </w:rPr>
        <w:t xml:space="preserve">Le modèle cognitivo-comportemental éclaire un cercle vicieux commun : une situation déclenche une interprétation catastrophiste → anxiété → évitement ou rituel → soulagement immédiat → renforcement de l'évitement, qui entretient le trouble à long terme. C'est ce cercle que visent les approches thérapeutiques (exposition graduée, restructuration cognitive).</w:t>
      </w:r>
    </w:p>
    <w:p>
      <w:pPr>
        <w:spacing w:after="120" w:before="260"/>
      </w:pPr>
      <w:r>
        <w:rPr>
          <w:rFonts w:ascii="Times New Roman" w:cs="Times New Roman" w:eastAsia="Times New Roman" w:hAnsi="Times New Roman"/>
          <w:b/>
          <w:bCs/>
          <w:i w:val="false"/>
          <w:iCs w:val="false"/>
          <w:color w:val="1B3A6B"/>
          <w:sz w:val="30"/>
          <w:szCs w:val="30"/>
        </w:rPr>
        <w:t xml:space="preserve">🛠️ Pratique (80%)</w:t>
      </w:r>
    </w:p>
    <w:p>
      <w:pPr>
        <w:spacing w:after="80" w:before="160"/>
      </w:pPr>
      <w:r>
        <w:rPr>
          <w:rFonts w:ascii="Times New Roman" w:cs="Times New Roman" w:eastAsia="Times New Roman" w:hAnsi="Times New Roman"/>
          <w:b/>
          <w:bCs/>
          <w:i w:val="false"/>
          <w:iCs w:val="false"/>
          <w:color w:val="1F2937"/>
          <w:sz w:val="26"/>
          <w:szCs w:val="26"/>
        </w:rPr>
        <w:t xml:space="preserve">Exercice 1 — Compréhension active : la carte des 4 troubles</w:t>
      </w:r>
    </w:p>
    <w:p>
      <w:pPr>
        <w:spacing w:after="120"/>
      </w:pPr>
      <w:r>
        <w:rPr>
          <w:rFonts w:ascii="Times New Roman" w:cs="Times New Roman" w:eastAsia="Times New Roman" w:hAnsi="Times New Roman"/>
          <w:b w:val="false"/>
          <w:bCs w:val="false"/>
          <w:i w:val="false"/>
          <w:iCs w:val="false"/>
          <w:color w:val="1F2937"/>
          <w:sz w:val="22"/>
          <w:szCs w:val="22"/>
        </w:rPr>
        <w:t xml:space="preserve">Construis un tableau : Trouble / Cœur du symptôme / Ce qu'on observe / Ce qui le distingue des autres. Remplis-le avec tes mots pour TAG, phobie, trouble panique, TOC. Vérifie ensuite une ligne sur Psycom ou la CIM-11.</w:t>
      </w:r>
    </w:p>
    <w:p>
      <w:pPr>
        <w:spacing w:after="80" w:before="160"/>
      </w:pPr>
      <w:r>
        <w:rPr>
          <w:rFonts w:ascii="Times New Roman" w:cs="Times New Roman" w:eastAsia="Times New Roman" w:hAnsi="Times New Roman"/>
          <w:b/>
          <w:bCs/>
          <w:i w:val="false"/>
          <w:iCs w:val="false"/>
          <w:color w:val="1F2937"/>
          <w:sz w:val="26"/>
          <w:szCs w:val="26"/>
        </w:rPr>
        <w:t xml:space="preserve">Exercice 2 — Vignettes cliniques (repérage, sans diagnostic)</w:t>
      </w:r>
    </w:p>
    <w:p>
      <w:pPr>
        <w:spacing w:after="120"/>
      </w:pPr>
      <w:r>
        <w:rPr>
          <w:rFonts w:ascii="Times New Roman" w:cs="Times New Roman" w:eastAsia="Times New Roman" w:hAnsi="Times New Roman"/>
          <w:b w:val="false"/>
          <w:bCs w:val="false"/>
          <w:i w:val="false"/>
          <w:iCs w:val="false"/>
          <w:color w:val="1F2937"/>
          <w:sz w:val="22"/>
          <w:szCs w:val="22"/>
        </w:rPr>
        <w:t xml:space="preserve">Pour chaque vignette, note quel(s) mécanisme(s) tu observes et quelle orientation serait pertinente (jamais un diagnostic) : A) « Une personne vérifie 15 fois que le gaz est coupé et ne peut sortir sans cela. » B) « Une personne évite tous les repas collectifs par peur d'être jugée. » C) « Une personne a des montées brutales de peur avec palpitations, sans déclencheur clair. » Formule pour chacune une phrase d'observation non stigmatisante que tu pourrais transmettre à un professionnel de santé.</w:t>
      </w:r>
    </w:p>
    <w:p>
      <w:pPr>
        <w:spacing w:after="80" w:before="160"/>
      </w:pPr>
      <w:r>
        <w:rPr>
          <w:rFonts w:ascii="Times New Roman" w:cs="Times New Roman" w:eastAsia="Times New Roman" w:hAnsi="Times New Roman"/>
          <w:b/>
          <w:bCs/>
          <w:i w:val="false"/>
          <w:iCs w:val="false"/>
          <w:color w:val="1F2937"/>
          <w:sz w:val="26"/>
          <w:szCs w:val="26"/>
        </w:rPr>
        <w:t xml:space="preserve">Exercice 3 — Repérer le cercle vicieux</w:t>
      </w:r>
    </w:p>
    <w:p>
      <w:pPr>
        <w:spacing w:after="120"/>
      </w:pPr>
      <w:r>
        <w:rPr>
          <w:rFonts w:ascii="Times New Roman" w:cs="Times New Roman" w:eastAsia="Times New Roman" w:hAnsi="Times New Roman"/>
          <w:b w:val="false"/>
          <w:bCs w:val="false"/>
          <w:i w:val="false"/>
          <w:iCs w:val="false"/>
          <w:color w:val="1F2937"/>
          <w:sz w:val="22"/>
          <w:szCs w:val="22"/>
        </w:rPr>
        <w:t xml:space="preserve">À partir d'une situation d'anxiété (vécue ou observée), dessine le cercle : déclencheur → interprétation → émotion → comportement (évitement/rituel) → conséquence à court terme → effet à long terme. Objectif : voir comment le soulagement immédiat entretient le problème — une clé de lecture précieuse pour l'accompagnement.</w:t>
      </w:r>
    </w:p>
    <w:p>
      <w:pPr>
        <w:spacing w:after="120" w:before="260"/>
      </w:pPr>
      <w:r>
        <w:rPr>
          <w:rFonts w:ascii="Times New Roman" w:cs="Times New Roman" w:eastAsia="Times New Roman" w:hAnsi="Times New Roman"/>
          <w:b/>
          <w:bCs/>
          <w:i w:val="false"/>
          <w:iCs w:val="false"/>
          <w:color w:val="1B3A6B"/>
          <w:sz w:val="30"/>
          <w:szCs w:val="30"/>
        </w:rPr>
        <w:t xml:space="preserve">🎯 Challenge</w:t>
      </w:r>
    </w:p>
    <w:p>
      <w:pPr>
        <w:spacing w:after="120"/>
      </w:pPr>
      <w:r>
        <w:rPr>
          <w:rFonts w:ascii="Times New Roman" w:cs="Times New Roman" w:eastAsia="Times New Roman" w:hAnsi="Times New Roman"/>
          <w:b w:val="false"/>
          <w:bCs w:val="false"/>
          <w:i w:val="false"/>
          <w:iCs w:val="false"/>
          <w:color w:val="1F2937"/>
          <w:sz w:val="22"/>
          <w:szCs w:val="22"/>
        </w:rPr>
        <w:t xml:space="preserve">Rédige une courte « fiche d'observation partageable » (10-12 lignes) sur une situation d'anxiété rencontrée en accompagnement : faits observés (pas d'interprétation diagnostique), retentissement fonctionnel, facteurs déclenchants/apaisants repérés, et proposition d'orientation vers le soin. C'est exactement le type d'écrit utile qu'un chef de service peut transmettre à un partenaire de santé.</w:t>
      </w:r>
    </w:p>
    <w:p>
      <w:pPr>
        <w:spacing w:after="120" w:before="260"/>
      </w:pPr>
      <w:r>
        <w:rPr>
          <w:rFonts w:ascii="Times New Roman" w:cs="Times New Roman" w:eastAsia="Times New Roman" w:hAnsi="Times New Roman"/>
          <w:b/>
          <w:bCs/>
          <w:i w:val="false"/>
          <w:iCs w:val="false"/>
          <w:color w:val="1B3A6B"/>
          <w:sz w:val="30"/>
          <w:szCs w:val="30"/>
        </w:rPr>
        <w:t xml:space="preserve">🌉 Pont pro (ESSMS)</w:t>
      </w:r>
    </w:p>
    <w:p>
      <w:pPr>
        <w:spacing w:after="120"/>
      </w:pPr>
      <w:r>
        <w:rPr>
          <w:rFonts w:ascii="Times New Roman" w:cs="Times New Roman" w:eastAsia="Times New Roman" w:hAnsi="Times New Roman"/>
          <w:b w:val="false"/>
          <w:bCs w:val="false"/>
          <w:i w:val="false"/>
          <w:iCs w:val="false"/>
          <w:color w:val="1F2937"/>
          <w:sz w:val="22"/>
          <w:szCs w:val="22"/>
        </w:rPr>
        <w:t xml:space="preserve">Les troubles anxieux sont très fréquents chez les personnes accompagnées (handicap psychique, TSA/TDI avec comorbidités). Savoir distinguer anxiété normale et pathologique, et repérer les cercles d'évitement, aide à ajuster l'environnement (prévisibilité, désescalade) et à orienter au bon moment — sans se substituer au diagnostic médical.</w:t>
      </w:r>
    </w:p>
    <w:p>
      <w:pPr>
        <w:spacing w:after="120" w:before="260"/>
      </w:pPr>
      <w:r>
        <w:rPr>
          <w:rFonts w:ascii="Times New Roman" w:cs="Times New Roman" w:eastAsia="Times New Roman" w:hAnsi="Times New Roman"/>
          <w:b/>
          <w:bCs/>
          <w:i w:val="false"/>
          <w:iCs w:val="false"/>
          <w:color w:val="1B3A6B"/>
          <w:sz w:val="30"/>
          <w:szCs w:val="30"/>
        </w:rPr>
        <w:t xml:space="preserve">📚 Ressources cliquables</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b8wf_yu1g2hzripcsvquv">
        <w:r>
          <w:rPr>
            <w:rFonts w:ascii="Times New Roman" w:cs="Times New Roman" w:eastAsia="Times New Roman" w:hAnsi="Times New Roman"/>
            <w:b w:val="false"/>
            <w:bCs w:val="false"/>
            <w:i w:val="false"/>
            <w:iCs w:val="false"/>
            <w:color w:val="1155CC"/>
            <w:sz w:val="22"/>
            <w:szCs w:val="22"/>
            <w:u w:val="single"/>
          </w:rPr>
          <w:t xml:space="preserve">Psycom — Troubles anxieux</w:t>
        </w:r>
      </w:hyperlink>
      <w:r>
        <w:rPr>
          <w:rFonts w:ascii="Times New Roman" w:cs="Times New Roman" w:eastAsia="Times New Roman" w:hAnsi="Times New Roman"/>
          <w:b w:val="false"/>
          <w:bCs w:val="false"/>
          <w:i w:val="false"/>
          <w:iCs w:val="false"/>
          <w:color w:val="1F2937"/>
          <w:sz w:val="22"/>
          <w:szCs w:val="22"/>
        </w:rPr>
        <w:t xml:space="preserve"> — information santé mentale fiable et non stigmatisante (FR)</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fnitjlywx3mq-ub5goebj">
        <w:r>
          <w:rPr>
            <w:rFonts w:ascii="Times New Roman" w:cs="Times New Roman" w:eastAsia="Times New Roman" w:hAnsi="Times New Roman"/>
            <w:b w:val="false"/>
            <w:bCs w:val="false"/>
            <w:i w:val="false"/>
            <w:iCs w:val="false"/>
            <w:color w:val="1155CC"/>
            <w:sz w:val="22"/>
            <w:szCs w:val="22"/>
            <w:u w:val="single"/>
          </w:rPr>
          <w:t xml:space="preserve">CIM-11 (OMS) — classification internationale</w:t>
        </w:r>
      </w:hyperlink>
      <w:r>
        <w:rPr>
          <w:rFonts w:ascii="Times New Roman" w:cs="Times New Roman" w:eastAsia="Times New Roman" w:hAnsi="Times New Roman"/>
          <w:b w:val="false"/>
          <w:bCs w:val="false"/>
          <w:i w:val="false"/>
          <w:iCs w:val="false"/>
          <w:color w:val="1F2937"/>
          <w:sz w:val="22"/>
          <w:szCs w:val="22"/>
        </w:rPr>
        <w:t xml:space="preserve"> — troubles anxieux et « TOC et troubles apparentés »</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_b0nuk0_huxvtdoyxzqkp">
        <w:r>
          <w:rPr>
            <w:rFonts w:ascii="Times New Roman" w:cs="Times New Roman" w:eastAsia="Times New Roman" w:hAnsi="Times New Roman"/>
            <w:b w:val="false"/>
            <w:bCs w:val="false"/>
            <w:i w:val="false"/>
            <w:iCs w:val="false"/>
            <w:color w:val="1155CC"/>
            <w:sz w:val="22"/>
            <w:szCs w:val="22"/>
            <w:u w:val="single"/>
          </w:rPr>
          <w:t xml:space="preserve">Merck Manual (Professional) — Anxiety Disorders</w:t>
        </w:r>
      </w:hyperlink>
      <w:r>
        <w:rPr>
          <w:rFonts w:ascii="Times New Roman" w:cs="Times New Roman" w:eastAsia="Times New Roman" w:hAnsi="Times New Roman"/>
          <w:b w:val="false"/>
          <w:bCs w:val="false"/>
          <w:i w:val="false"/>
          <w:iCs w:val="false"/>
          <w:color w:val="1F2937"/>
          <w:sz w:val="22"/>
          <w:szCs w:val="22"/>
        </w:rPr>
        <w:t xml:space="preserve"> — référence clinique (EN)</w:t>
      </w:r>
    </w:p>
    <w:p>
      <w:pPr>
        <w:spacing w:after="80"/>
        <w:ind w:left="360" w:hanging="220"/>
      </w:pPr>
      <w:r>
        <w:rPr>
          <w:rFonts w:ascii="Times New Roman" w:cs="Times New Roman" w:eastAsia="Times New Roman" w:hAnsi="Times New Roman"/>
          <w:b w:val="false"/>
          <w:bCs w:val="false"/>
          <w:i w:val="false"/>
          <w:iCs w:val="false"/>
          <w:color w:val="1F2937"/>
          <w:sz w:val="22"/>
          <w:szCs w:val="22"/>
        </w:rPr>
        <w:t xml:space="preserve">•  </w:t>
      </w:r>
      <w:hyperlink w:history="1" r:id="rIdqvzqkljnsbisdiy8mri0m">
        <w:r>
          <w:rPr>
            <w:rFonts w:ascii="Times New Roman" w:cs="Times New Roman" w:eastAsia="Times New Roman" w:hAnsi="Times New Roman"/>
            <w:b w:val="false"/>
            <w:bCs w:val="false"/>
            <w:i w:val="false"/>
            <w:iCs w:val="false"/>
            <w:color w:val="1155CC"/>
            <w:sz w:val="22"/>
            <w:szCs w:val="22"/>
            <w:u w:val="single"/>
          </w:rPr>
          <w:t xml:space="preserve">APA — Topics (Anxiety)</w:t>
        </w:r>
      </w:hyperlink>
      <w:r>
        <w:rPr>
          <w:rFonts w:ascii="Times New Roman" w:cs="Times New Roman" w:eastAsia="Times New Roman" w:hAnsi="Times New Roman"/>
          <w:b w:val="false"/>
          <w:bCs w:val="false"/>
          <w:i w:val="false"/>
          <w:iCs w:val="false"/>
          <w:color w:val="1F2937"/>
          <w:sz w:val="22"/>
          <w:szCs w:val="22"/>
        </w:rPr>
        <w:t xml:space="preserve"> — fiches par trouble (EN)</w:t>
      </w:r>
    </w:p>
    <w:p>
      <w:pPr>
        <w:spacing w:after="120" w:before="260"/>
      </w:pPr>
      <w:r>
        <w:rPr>
          <w:rFonts w:ascii="Times New Roman" w:cs="Times New Roman" w:eastAsia="Times New Roman" w:hAnsi="Times New Roman"/>
          <w:b/>
          <w:bCs/>
          <w:i w:val="false"/>
          <w:iCs w:val="false"/>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Leçon n°06 — Les troubles de l'humeur : épisodes dépressifs et troubles bipolaires (repérage, retentissement, orientation).</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8wf_yu1g2hzripcsvquv" Type="http://schemas.openxmlformats.org/officeDocument/2006/relationships/hyperlink" Target="https://www.psycom.org/" TargetMode="External"/><Relationship Id="rIdfnitjlywx3mq-ub5goebj" Type="http://schemas.openxmlformats.org/officeDocument/2006/relationships/hyperlink" Target="https://icd.who.int/browse/2024-01/mms/en" TargetMode="External"/><Relationship Id="rId_b0nuk0_huxvtdoyxzqkp" Type="http://schemas.openxmlformats.org/officeDocument/2006/relationships/hyperlink" Target="https://www.merckmanuals.com/professional/psychiatric-disorders" TargetMode="External"/><Relationship Id="rIdqvzqkljnsbisdiy8mri0m" Type="http://schemas.openxmlformats.org/officeDocument/2006/relationships/hyperlink" Target="https://www.apa.org/topic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2026-07-13T08:41:17.622Z</dcterms:created>
  <dcterms:modified xsi:type="dcterms:W3CDTF">2026-07-13T08:41:17.622Z</dcterms:modified>
</cp:coreProperties>
</file>

<file path=docProps/custom.xml><?xml version="1.0" encoding="utf-8"?>
<Properties xmlns="http://schemas.openxmlformats.org/officeDocument/2006/custom-properties" xmlns:vt="http://schemas.openxmlformats.org/officeDocument/2006/docPropsVTypes"/>
</file>