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Times New Roman" w:cs="Times New Roman" w:eastAsia="Times New Roman" w:hAnsi="Times New Roman"/>
          <w:b/>
          <w:bCs/>
          <w:color w:val="1B3A6B"/>
          <w:sz w:val="52"/>
          <w:szCs w:val="52"/>
        </w:rPr>
        <w:t xml:space="preserve">Leçon Hypnose &amp; auto-hypnose n°14</w:t>
      </w:r>
    </w:p>
    <w:p>
      <w:pPr>
        <w:pStyle w:val="Heading1"/>
        <w:spacing w:after="200" w:before="0"/>
        <w:jc w:val="center"/>
      </w:pPr>
      <w:r>
        <w:rPr>
          <w:rFonts w:ascii="Times New Roman" w:cs="Times New Roman" w:eastAsia="Times New Roman" w:hAnsi="Times New Roman"/>
          <w:b/>
          <w:bCs/>
          <w:color w:val="1B3A6B"/>
          <w:sz w:val="52"/>
          <w:szCs w:val="52"/>
        </w:rPr>
        <w:t xml:space="preserve">L'hypnose conversationnelle</w:t>
      </w:r>
    </w:p>
    <w:p>
      <w:pPr>
        <w:spacing w:after="80" w:before="80"/>
        <w:jc w:val="center"/>
      </w:pPr>
      <w:r>
        <w:rPr>
          <w:rFonts w:ascii="Times New Roman" w:cs="Times New Roman" w:eastAsia="Times New Roman" w:hAnsi="Times New Roman"/>
          <w:i/>
          <w:iCs/>
          <w:color w:val="1B3A6B"/>
          <w:sz w:val="20"/>
          <w:szCs w:val="20"/>
        </w:rPr>
        <w:t xml:space="preserve">15 septembre 2026  |  Leçon 14 / 20</w:t>
      </w:r>
    </w:p>
    <w:p>
      <w:pPr>
        <w:pBdr>
          <w:bottom w:val="single" w:color="1B3A6B" w:sz="6"/>
        </w:pBdr>
        <w:spacing w:after="100" w:before="10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60"/>
      </w:pPr>
      <w:r>
        <w:rPr>
          <w:rFonts w:ascii="Times New Roman" w:cs="Times New Roman" w:eastAsia="Times New Roman" w:hAnsi="Times New Roman"/>
          <w:color w:val="1F2937"/>
          <w:sz w:val="22"/>
          <w:szCs w:val="22"/>
        </w:rPr>
        <w:t xml:space="preserve">À l'issue de cette leçon, tu seras capable de : (1) distinguer la suggestion directe de la suggestion indirecte et d'identifier les principaux patterns linguistiques du registre conversationnel ; (2) formuler des suggestions indirectes dans une conversation ordinaire ; (3) pratiquer le pacing (synchronisation) et le leading (guidage) dans des situations du quotidien.</w:t>
      </w:r>
    </w:p>
    <w:p>
      <w:pPr>
        <w:spacing w:after="80" w:before="60"/>
      </w:pPr>
      <w:r>
        <w:rPr>
          <w:rFonts w:ascii="Times New Roman" w:cs="Times New Roman" w:eastAsia="Times New Roman" w:hAnsi="Times New Roman"/>
          <w:color w:val="1F2937"/>
          <w:sz w:val="22"/>
          <w:szCs w:val="22"/>
        </w:rPr>
        <w:t xml:space="preserve">Lien avec la leçon précédente (n°13 — Hypnose, anxiété et gestion du stress) : tu as exploré comment l'état hypnotique permet de réguler des états émotionnels difficiles. Cette leçon s'attache à la question de la porte d'entrée : comment induire un état de réceptivité sans induction formelle, simplement par la qualité du langage et de la relation.</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Cadre &amp; sécurité</w:t>
      </w:r>
    </w:p>
    <w:p>
      <w:pPr>
        <w:shd w:fill="F3F4F6" w:val="clear"/>
        <w:spacing w:after="100" w:before="100"/>
        <w:ind w:left="200" w:right="200"/>
      </w:pPr>
      <w:r>
        <w:rPr>
          <w:rFonts w:ascii="Times New Roman" w:cs="Times New Roman" w:eastAsia="Times New Roman" w:hAnsi="Times New Roman"/>
          <w:i/>
          <w:iCs/>
          <w:color w:val="1F2937"/>
          <w:sz w:val="22"/>
          <w:szCs w:val="22"/>
        </w:rPr>
        <w:t xml:space="preserve">Ce que tu pratiques ici relève du développement personnel et de la communication consciente — non de l'hypnothérapie. L'hypnose conversationnelle telle qu'elle est présentée dans cette leçon te forme à communiquer avec plus de précision et de bienveillance, pas à "induire" un état hypnotique chez une tierce personne à son insu. Toute utilisation "covert" (à l'insu de l'autre) à des fins de manipulation est contraire à l'éthique et dépourvue de base scientifique solide. En ESSMS, pratiquer l'hypnose sur les personnes accompagnées exige une qualification spécifique.</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 — L'hypnose conversationnelle : qu'est-ce que c'est ?</w:t>
      </w:r>
    </w:p>
    <w:p>
      <w:pPr>
        <w:pStyle w:val="Heading3"/>
        <w:spacing w:after="80" w:before="200"/>
      </w:pPr>
      <w:r>
        <w:rPr>
          <w:rFonts w:ascii="Times New Roman" w:cs="Times New Roman" w:eastAsia="Times New Roman" w:hAnsi="Times New Roman"/>
          <w:b/>
          <w:bCs/>
          <w:color w:val="1F2937"/>
          <w:sz w:val="26"/>
          <w:szCs w:val="26"/>
        </w:rPr>
        <w:t xml:space="preserve">1. Définition</w:t>
      </w:r>
    </w:p>
    <w:p>
      <w:pPr>
        <w:spacing w:after="80" w:before="60"/>
      </w:pPr>
      <w:r>
        <w:rPr>
          <w:rFonts w:ascii="Times New Roman" w:cs="Times New Roman" w:eastAsia="Times New Roman" w:hAnsi="Times New Roman"/>
          <w:color w:val="1F2937"/>
          <w:sz w:val="22"/>
          <w:szCs w:val="22"/>
        </w:rPr>
        <w:t xml:space="preserve">L'hypnose conversationnelle désigne l'utilisation des principes linguistiques et relationnels de l'hypnose formelle dans le cadre d'un échange ordinaire, sans phase d'induction explicite. Le praticien s'adresse à la fois à la conscience et aux processus automatiques de l'interlocuteur, en visant à favoriser un état de réceptivité accrue — ce que la littérature francophone spécialisée décrit comme une "transe légère" induite au cours de la conversation par des procédés communicationnels.</w:t>
      </w:r>
    </w:p>
    <w:p>
      <w:pPr>
        <w:spacing w:after="80" w:before="60"/>
      </w:pPr>
      <w:r>
        <w:rPr>
          <w:rFonts w:ascii="Times New Roman" w:cs="Times New Roman" w:eastAsia="Times New Roman" w:hAnsi="Times New Roman"/>
          <w:color w:val="1F2937"/>
          <w:sz w:val="22"/>
          <w:szCs w:val="22"/>
        </w:rPr>
        <w:t xml:space="preserve">Cette approche s'oppose à la suggestion directe ("ferme les yeux") au profit de la suggestion indirecte et permissive ("tu pourrais peut-être, lorsque tu le souhaiteras, laisser tes paupières s'alourdir").</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La distinction directif / permissif — repère fondamental</w:t>
      </w:r>
    </w:p>
    <w:p>
      <w:pPr>
        <w:spacing w:after="80" w:before="60"/>
      </w:pPr>
      <w:r>
        <w:rPr>
          <w:rFonts w:ascii="Times New Roman" w:cs="Times New Roman" w:eastAsia="Times New Roman" w:hAnsi="Times New Roman"/>
          <w:color w:val="1F2937"/>
          <w:sz w:val="22"/>
          <w:szCs w:val="22"/>
        </w:rPr>
        <w:t xml:space="preserve">Wikipedia (article Hypnosis, 2024) formule la distinction ainsi : les praticiens qui considèrent que les réponses à la suggestion sont principalement médiées par l'inconscient — comme Milton Erickson — font usage de suggestions indirectes telles que les métaphores ou les récits dont le sens visé peut rester voilé pour la conscience rationnelle du sujet. Par contraste, les praticiens qui considèrent la conscience rationnelle comme premier médiateur — comme Theodore Barber ou Nicholas Spanos — privilégient les suggestions directes et les instructions verbales explicites.</w:t>
      </w:r>
    </w:p>
    <w:p>
      <w:pPr>
        <w:spacing w:after="80" w:before="60"/>
      </w:pPr>
      <w:r>
        <w:rPr>
          <w:rFonts w:ascii="Times New Roman" w:cs="Times New Roman" w:eastAsia="Times New Roman" w:hAnsi="Times New Roman"/>
          <w:color w:val="1F2937"/>
          <w:sz w:val="22"/>
          <w:szCs w:val="22"/>
        </w:rPr>
        <w:t xml:space="preserve">Ce clivage structure tout le débat sur l'hypnose conversationnelle : c'est une hypnose du registre "permissif", là où l'hypnose de spectacle, historiquement, se situe dans le registre autoritaire.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L'apport de Milton H. Erickson</w:t>
      </w:r>
    </w:p>
    <w:p>
      <w:pPr>
        <w:spacing w:after="80" w:before="60"/>
      </w:pPr>
      <w:r>
        <w:rPr>
          <w:rFonts w:ascii="Times New Roman" w:cs="Times New Roman" w:eastAsia="Times New Roman" w:hAnsi="Times New Roman"/>
          <w:color w:val="1F2937"/>
          <w:sz w:val="22"/>
          <w:szCs w:val="22"/>
        </w:rPr>
        <w:t xml:space="preserve">Milton H. Erickson (1901-1980) est la figure centrale de l'hypnose conversationnelle. Sa démarche repose sur le principe d'utilisation : chaque comportement, résistance ou particularité du sujet est une ressource à utiliser, non un obstacle à contourner. Il considérait l'inconscient non comme un réservoir de conflits refoulés, mais comme un réservoir de ressources et de solutions.</w:t>
      </w:r>
    </w:p>
    <w:p>
      <w:pPr>
        <w:spacing w:after="80" w:before="60"/>
        <w:ind w:left="400"/>
      </w:pPr>
      <w:r>
        <w:rPr>
          <w:rFonts w:ascii="Times New Roman" w:cs="Times New Roman" w:eastAsia="Times New Roman" w:hAnsi="Times New Roman"/>
          <w:i/>
          <w:iCs/>
          <w:color w:val="1B3A6B"/>
          <w:sz w:val="22"/>
          <w:szCs w:val="22"/>
        </w:rPr>
        <w:t xml:space="preserve">"Every person's map of the world is as unique as their thumbprint. There are no two people alike. No two people who understand the same sentence the same way... So in dealing with people, you try not to fit them to your concept of what they should be." — Milton H. Erickson (cité par la Milton H. Erickson Foundation, https://www.erickson-foundation.org/)</w:t>
      </w:r>
    </w:p>
    <w:p>
      <w:pPr>
        <w:spacing w:after="80" w:before="60"/>
      </w:pPr>
      <w:r>
        <w:rPr>
          <w:rFonts w:ascii="Times New Roman" w:cs="Times New Roman" w:eastAsia="Times New Roman" w:hAnsi="Times New Roman"/>
          <w:color w:val="1F2937"/>
          <w:sz w:val="22"/>
          <w:szCs w:val="22"/>
        </w:rPr>
        <w:t xml:space="preserve">Cette position philosophique explique pourquoi Erickson privilégiait un langage adapté à chaque interlocuteur, souple et non normatif. Richard Bandler et John Grinder ont par la suite formalisé ses patterns linguistiques sous le nom de "Milton Model" dans le cadre de la PNL (programmation neuro-linguistique) — cadre qui reste par ailleurs controversé scientifiquement.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Les principaux patterns de l'hypnose conversationnelle</w:t>
      </w:r>
    </w:p>
    <w:p>
      <w:pPr>
        <w:spacing w:after="80" w:before="60"/>
      </w:pPr>
      <w:r>
        <w:rPr>
          <w:rFonts w:ascii="Times New Roman" w:cs="Times New Roman" w:eastAsia="Times New Roman" w:hAnsi="Times New Roman"/>
          <w:color w:val="1F2937"/>
          <w:sz w:val="22"/>
          <w:szCs w:val="22"/>
        </w:rPr>
        <w:t xml:space="preserve">Les techniques ci-dessous sont issues de la synthèse de la littérature clinique francophone et anglophone sur l'hypnose ericksonienne. Elles ne constituent pas une liste exhaustive.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r>
              <w:rPr>
                <w:rFonts w:ascii="Times New Roman" w:cs="Times New Roman" w:eastAsia="Times New Roman" w:hAnsi="Times New Roman"/>
                <w:b/>
                <w:bCs/>
                <w:color w:val="FFFFFF"/>
                <w:sz w:val="20"/>
                <w:szCs w:val="20"/>
              </w:rPr>
              <w:t xml:space="preserve">Pattern</w:t>
            </w:r>
          </w:p>
        </w:tc>
        <w:tc>
          <w:tcPr>
            <w:shd w:fill="1B3A6B" w:val="clear"/>
          </w:tcPr>
          <w:p>
            <w:r>
              <w:rPr>
                <w:rFonts w:ascii="Times New Roman" w:cs="Times New Roman" w:eastAsia="Times New Roman" w:hAnsi="Times New Roman"/>
                <w:b/>
                <w:bCs/>
                <w:color w:val="FFFFFF"/>
                <w:sz w:val="20"/>
                <w:szCs w:val="20"/>
              </w:rPr>
              <w:t xml:space="preserve">Définition</w:t>
            </w:r>
          </w:p>
        </w:tc>
        <w:tc>
          <w:tcPr>
            <w:shd w:fill="1B3A6B" w:val="clear"/>
          </w:tcPr>
          <w:p>
            <w:r>
              <w:rPr>
                <w:rFonts w:ascii="Times New Roman" w:cs="Times New Roman" w:eastAsia="Times New Roman" w:hAnsi="Times New Roman"/>
                <w:b/>
                <w:bCs/>
                <w:color w:val="FFFFFF"/>
                <w:sz w:val="20"/>
                <w:szCs w:val="20"/>
              </w:rPr>
              <w:t xml:space="preserve">Exemple</w:t>
            </w:r>
          </w:p>
        </w:tc>
      </w:tr>
      <w:tr>
        <w:tc>
          <w:tcPr>
            <w:shd w:fill="FFFFFF" w:val="clear"/>
          </w:tcPr>
          <w:p>
            <w:r>
              <w:rPr>
                <w:rFonts w:ascii="Times New Roman" w:cs="Times New Roman" w:eastAsia="Times New Roman" w:hAnsi="Times New Roman"/>
                <w:color w:val="1F2937"/>
                <w:sz w:val="20"/>
                <w:szCs w:val="20"/>
              </w:rPr>
              <w:t xml:space="preserve">Suggestions indirectes</w:t>
            </w:r>
          </w:p>
        </w:tc>
        <w:tc>
          <w:tcPr>
            <w:shd w:fill="FFFFFF" w:val="clear"/>
          </w:tcPr>
          <w:p>
            <w:r>
              <w:rPr>
                <w:rFonts w:ascii="Times New Roman" w:cs="Times New Roman" w:eastAsia="Times New Roman" w:hAnsi="Times New Roman"/>
                <w:color w:val="1F2937"/>
                <w:sz w:val="20"/>
                <w:szCs w:val="20"/>
              </w:rPr>
              <w:t xml:space="preserve">Orienter sans ordonner</w:t>
            </w:r>
          </w:p>
        </w:tc>
        <w:tc>
          <w:tcPr>
            <w:shd w:fill="FFFFFF" w:val="clear"/>
          </w:tcPr>
          <w:p>
            <w:r>
              <w:rPr>
                <w:rFonts w:ascii="Times New Roman" w:cs="Times New Roman" w:eastAsia="Times New Roman" w:hAnsi="Times New Roman"/>
                <w:color w:val="1F2937"/>
                <w:sz w:val="20"/>
                <w:szCs w:val="20"/>
              </w:rPr>
              <w:t xml:space="preserve">"Certaines personnes trouvent utile de…"</w:t>
            </w:r>
          </w:p>
        </w:tc>
      </w:tr>
      <w:tr>
        <w:tc>
          <w:tcPr>
            <w:shd w:fill="EEF2F7" w:val="clear"/>
          </w:tcPr>
          <w:p>
            <w:r>
              <w:rPr>
                <w:rFonts w:ascii="Times New Roman" w:cs="Times New Roman" w:eastAsia="Times New Roman" w:hAnsi="Times New Roman"/>
                <w:color w:val="1F2937"/>
                <w:sz w:val="20"/>
                <w:szCs w:val="20"/>
              </w:rPr>
              <w:t xml:space="preserve">Pacing (synchronisation)</w:t>
            </w:r>
          </w:p>
        </w:tc>
        <w:tc>
          <w:tcPr>
            <w:shd w:fill="EEF2F7" w:val="clear"/>
          </w:tcPr>
          <w:p>
            <w:r>
              <w:rPr>
                <w:rFonts w:ascii="Times New Roman" w:cs="Times New Roman" w:eastAsia="Times New Roman" w:hAnsi="Times New Roman"/>
                <w:color w:val="1F2937"/>
                <w:sz w:val="20"/>
                <w:szCs w:val="20"/>
              </w:rPr>
              <w:t xml:space="preserve">S'accorder au rythme, à la posture, au ton de l'interlocuteur</w:t>
            </w:r>
          </w:p>
        </w:tc>
        <w:tc>
          <w:tcPr>
            <w:shd w:fill="EEF2F7" w:val="clear"/>
          </w:tcPr>
          <w:p>
            <w:r>
              <w:rPr>
                <w:rFonts w:ascii="Times New Roman" w:cs="Times New Roman" w:eastAsia="Times New Roman" w:hAnsi="Times New Roman"/>
                <w:color w:val="1F2937"/>
                <w:sz w:val="20"/>
                <w:szCs w:val="20"/>
              </w:rPr>
              <w:t xml:space="preserve">Adapter la vitesse de parole, le volume, la respiration</w:t>
            </w:r>
          </w:p>
        </w:tc>
      </w:tr>
      <w:tr>
        <w:tc>
          <w:tcPr>
            <w:shd w:fill="FFFFFF" w:val="clear"/>
          </w:tcPr>
          <w:p>
            <w:r>
              <w:rPr>
                <w:rFonts w:ascii="Times New Roman" w:cs="Times New Roman" w:eastAsia="Times New Roman" w:hAnsi="Times New Roman"/>
                <w:color w:val="1F2937"/>
                <w:sz w:val="20"/>
                <w:szCs w:val="20"/>
              </w:rPr>
              <w:t xml:space="preserve">Leading (guidage)</w:t>
            </w:r>
          </w:p>
        </w:tc>
        <w:tc>
          <w:tcPr>
            <w:shd w:fill="FFFFFF" w:val="clear"/>
          </w:tcPr>
          <w:p>
            <w:r>
              <w:rPr>
                <w:rFonts w:ascii="Times New Roman" w:cs="Times New Roman" w:eastAsia="Times New Roman" w:hAnsi="Times New Roman"/>
                <w:color w:val="1F2937"/>
                <w:sz w:val="20"/>
                <w:szCs w:val="20"/>
              </w:rPr>
              <w:t xml:space="preserve">Après le pacing, guider progressivement vers un état ou une action</w:t>
            </w:r>
          </w:p>
        </w:tc>
        <w:tc>
          <w:tcPr>
            <w:shd w:fill="FFFFFF" w:val="clear"/>
          </w:tcPr>
          <w:p>
            <w:r>
              <w:rPr>
                <w:rFonts w:ascii="Times New Roman" w:cs="Times New Roman" w:eastAsia="Times New Roman" w:hAnsi="Times New Roman"/>
                <w:color w:val="1F2937"/>
                <w:sz w:val="20"/>
                <w:szCs w:val="20"/>
              </w:rPr>
              <w:t xml:space="preserve">Ralentir progressivement sa propre respiration</w:t>
            </w:r>
          </w:p>
        </w:tc>
      </w:tr>
      <w:tr>
        <w:tc>
          <w:tcPr>
            <w:shd w:fill="EEF2F7" w:val="clear"/>
          </w:tcPr>
          <w:p>
            <w:r>
              <w:rPr>
                <w:rFonts w:ascii="Times New Roman" w:cs="Times New Roman" w:eastAsia="Times New Roman" w:hAnsi="Times New Roman"/>
                <w:color w:val="1F2937"/>
                <w:sz w:val="20"/>
                <w:szCs w:val="20"/>
              </w:rPr>
              <w:t xml:space="preserve">Présuppositions</w:t>
            </w:r>
          </w:p>
        </w:tc>
        <w:tc>
          <w:tcPr>
            <w:shd w:fill="EEF2F7" w:val="clear"/>
          </w:tcPr>
          <w:p>
            <w:r>
              <w:rPr>
                <w:rFonts w:ascii="Times New Roman" w:cs="Times New Roman" w:eastAsia="Times New Roman" w:hAnsi="Times New Roman"/>
                <w:color w:val="1F2937"/>
                <w:sz w:val="20"/>
                <w:szCs w:val="20"/>
              </w:rPr>
              <w:t xml:space="preserve">Tenir pour acquis ce qu'on veut induire</w:t>
            </w:r>
          </w:p>
        </w:tc>
        <w:tc>
          <w:tcPr>
            <w:shd w:fill="EEF2F7" w:val="clear"/>
          </w:tcPr>
          <w:p>
            <w:r>
              <w:rPr>
                <w:rFonts w:ascii="Times New Roman" w:cs="Times New Roman" w:eastAsia="Times New Roman" w:hAnsi="Times New Roman"/>
                <w:color w:val="1F2937"/>
                <w:sz w:val="20"/>
                <w:szCs w:val="20"/>
              </w:rPr>
              <w:t xml:space="preserve">"Quand tu te seras détendu, tu pourras…"</w:t>
            </w:r>
          </w:p>
        </w:tc>
      </w:tr>
      <w:tr>
        <w:tc>
          <w:tcPr>
            <w:shd w:fill="FFFFFF" w:val="clear"/>
          </w:tcPr>
          <w:p>
            <w:r>
              <w:rPr>
                <w:rFonts w:ascii="Times New Roman" w:cs="Times New Roman" w:eastAsia="Times New Roman" w:hAnsi="Times New Roman"/>
                <w:color w:val="1F2937"/>
                <w:sz w:val="20"/>
                <w:szCs w:val="20"/>
              </w:rPr>
              <w:t xml:space="preserve">Questions orientées</w:t>
            </w:r>
          </w:p>
        </w:tc>
        <w:tc>
          <w:tcPr>
            <w:shd w:fill="FFFFFF" w:val="clear"/>
          </w:tcPr>
          <w:p>
            <w:r>
              <w:rPr>
                <w:rFonts w:ascii="Times New Roman" w:cs="Times New Roman" w:eastAsia="Times New Roman" w:hAnsi="Times New Roman"/>
                <w:color w:val="1F2937"/>
                <w:sz w:val="20"/>
                <w:szCs w:val="20"/>
              </w:rPr>
              <w:t xml:space="preserve">Orienter l'attention plutôt qu'imposer une réponse</w:t>
            </w:r>
          </w:p>
        </w:tc>
        <w:tc>
          <w:tcPr>
            <w:shd w:fill="FFFFFF" w:val="clear"/>
          </w:tcPr>
          <w:p>
            <w:r>
              <w:rPr>
                <w:rFonts w:ascii="Times New Roman" w:cs="Times New Roman" w:eastAsia="Times New Roman" w:hAnsi="Times New Roman"/>
                <w:color w:val="1F2937"/>
                <w:sz w:val="20"/>
                <w:szCs w:val="20"/>
              </w:rPr>
              <w:t xml:space="preserve">"Qu'est-ce qui pourrait te sembler plus léger dans cette situation ?"</w:t>
            </w:r>
          </w:p>
        </w:tc>
      </w:tr>
      <w:tr>
        <w:tc>
          <w:tcPr>
            <w:shd w:fill="EEF2F7" w:val="clear"/>
          </w:tcPr>
          <w:p>
            <w:r>
              <w:rPr>
                <w:rFonts w:ascii="Times New Roman" w:cs="Times New Roman" w:eastAsia="Times New Roman" w:hAnsi="Times New Roman"/>
                <w:color w:val="1F2937"/>
                <w:sz w:val="20"/>
                <w:szCs w:val="20"/>
              </w:rPr>
              <w:t xml:space="preserve">Double bind positif</w:t>
            </w:r>
          </w:p>
        </w:tc>
        <w:tc>
          <w:tcPr>
            <w:shd w:fill="EEF2F7" w:val="clear"/>
          </w:tcPr>
          <w:p>
            <w:r>
              <w:rPr>
                <w:rFonts w:ascii="Times New Roman" w:cs="Times New Roman" w:eastAsia="Times New Roman" w:hAnsi="Times New Roman"/>
                <w:color w:val="1F2937"/>
                <w:sz w:val="20"/>
                <w:szCs w:val="20"/>
              </w:rPr>
              <w:t xml:space="preserve">Deux options menant toutes deux vers l'objectif</w:t>
            </w:r>
          </w:p>
        </w:tc>
        <w:tc>
          <w:tcPr>
            <w:shd w:fill="EEF2F7" w:val="clear"/>
          </w:tcPr>
          <w:p>
            <w:r>
              <w:rPr>
                <w:rFonts w:ascii="Times New Roman" w:cs="Times New Roman" w:eastAsia="Times New Roman" w:hAnsi="Times New Roman"/>
                <w:color w:val="1F2937"/>
                <w:sz w:val="20"/>
                <w:szCs w:val="20"/>
              </w:rPr>
              <w:t xml:space="preserve">"Tu veux commencer par t'asseoir ou par fermer les yeux ?"</w:t>
            </w:r>
          </w:p>
        </w:tc>
      </w:tr>
      <w:tr>
        <w:tc>
          <w:tcPr>
            <w:shd w:fill="FFFFFF" w:val="clear"/>
          </w:tcPr>
          <w:p>
            <w:r>
              <w:rPr>
                <w:rFonts w:ascii="Times New Roman" w:cs="Times New Roman" w:eastAsia="Times New Roman" w:hAnsi="Times New Roman"/>
                <w:color w:val="1F2937"/>
                <w:sz w:val="20"/>
                <w:szCs w:val="20"/>
              </w:rPr>
              <w:t xml:space="preserve">Métaphores</w:t>
            </w:r>
          </w:p>
        </w:tc>
        <w:tc>
          <w:tcPr>
            <w:shd w:fill="FFFFFF" w:val="clear"/>
          </w:tcPr>
          <w:p>
            <w:r>
              <w:rPr>
                <w:rFonts w:ascii="Times New Roman" w:cs="Times New Roman" w:eastAsia="Times New Roman" w:hAnsi="Times New Roman"/>
                <w:color w:val="1F2937"/>
                <w:sz w:val="20"/>
                <w:szCs w:val="20"/>
              </w:rPr>
              <w:t xml:space="preserve">Utiliser une image ou un récit pour contourner la résistance consciente</w:t>
            </w:r>
          </w:p>
        </w:tc>
        <w:tc>
          <w:tcPr>
            <w:shd w:fill="FFFFFF" w:val="clear"/>
          </w:tcPr>
          <w:p>
            <w:r>
              <w:rPr>
                <w:rFonts w:ascii="Times New Roman" w:cs="Times New Roman" w:eastAsia="Times New Roman" w:hAnsi="Times New Roman"/>
                <w:color w:val="1F2937"/>
                <w:sz w:val="20"/>
                <w:szCs w:val="20"/>
              </w:rPr>
              <w:t xml:space="preserve">Une histoire d'apprentissage progressif</w:t>
            </w:r>
          </w:p>
        </w:tc>
      </w:tr>
      <w:tr>
        <w:tc>
          <w:tcPr>
            <w:shd w:fill="EEF2F7" w:val="clear"/>
          </w:tcPr>
          <w:p>
            <w:r>
              <w:rPr>
                <w:rFonts w:ascii="Times New Roman" w:cs="Times New Roman" w:eastAsia="Times New Roman" w:hAnsi="Times New Roman"/>
                <w:color w:val="1F2937"/>
                <w:sz w:val="20"/>
                <w:szCs w:val="20"/>
              </w:rPr>
              <w:t xml:space="preserve">Confusion de langage</w:t>
            </w:r>
          </w:p>
        </w:tc>
        <w:tc>
          <w:tcPr>
            <w:shd w:fill="EEF2F7" w:val="clear"/>
          </w:tcPr>
          <w:p>
            <w:r>
              <w:rPr>
                <w:rFonts w:ascii="Times New Roman" w:cs="Times New Roman" w:eastAsia="Times New Roman" w:hAnsi="Times New Roman"/>
                <w:color w:val="1F2937"/>
                <w:sz w:val="20"/>
                <w:szCs w:val="20"/>
              </w:rPr>
              <w:t xml:space="preserve">Saturer brièvement la logique consciente</w:t>
            </w:r>
          </w:p>
        </w:tc>
        <w:tc>
          <w:tcPr>
            <w:shd w:fill="EEF2F7" w:val="clear"/>
          </w:tcPr>
          <w:p>
            <w:r>
              <w:rPr>
                <w:rFonts w:ascii="Times New Roman" w:cs="Times New Roman" w:eastAsia="Times New Roman" w:hAnsi="Times New Roman"/>
                <w:color w:val="1F2937"/>
                <w:sz w:val="20"/>
                <w:szCs w:val="20"/>
              </w:rPr>
              <w:t xml:space="preserve">"Et toi… tu sais ce que je sais que tu sais…"</w:t>
            </w:r>
          </w:p>
        </w:tc>
      </w:tr>
    </w:tbl>
    <w:p>
      <w:r>
        <w:t xml:space="preserve"/>
      </w:r>
    </w:p>
    <w:p>
      <w:pPr>
        <w:pStyle w:val="Heading3"/>
        <w:spacing w:after="80" w:before="200"/>
      </w:pPr>
      <w:r>
        <w:rPr>
          <w:rFonts w:ascii="Times New Roman" w:cs="Times New Roman" w:eastAsia="Times New Roman" w:hAnsi="Times New Roman"/>
          <w:b/>
          <w:bCs/>
          <w:color w:val="1F2937"/>
          <w:sz w:val="26"/>
          <w:szCs w:val="26"/>
        </w:rPr>
        <w:t xml:space="preserve">5. Ce que les neurosciences disent des mécanismes sous-jacents</w:t>
      </w:r>
    </w:p>
    <w:p>
      <w:pPr>
        <w:spacing w:after="80" w:before="60"/>
      </w:pPr>
      <w:r>
        <w:rPr>
          <w:rFonts w:ascii="Times New Roman" w:cs="Times New Roman" w:eastAsia="Times New Roman" w:hAnsi="Times New Roman"/>
          <w:color w:val="1F2937"/>
          <w:sz w:val="22"/>
          <w:szCs w:val="22"/>
        </w:rPr>
        <w:t xml:space="preserve">Une revue intégrative publiée en 2026 (Gallardo &amp; Chetri, Behavioral Sciences, doi: 10.3390/bs16030395) propose un modèle dans lequel l'induction hypnotique produit une "plasticité expérientielle accrue" par une reconfiguration coordonnée de trois grands réseaux cérébraux : le réseau en mode par défaut (DMN), le réseau de contrôle exécutif (ECN) et le réseau de saillance (SaN). Cette reconfiguration permet une régulation émotionnelle adaptative.</w:t>
      </w:r>
    </w:p>
    <w:p>
      <w:pPr>
        <w:spacing w:after="80" w:before="60"/>
      </w:pPr>
      <w:r>
        <w:rPr>
          <w:rFonts w:ascii="Times New Roman" w:cs="Times New Roman" w:eastAsia="Times New Roman" w:hAnsi="Times New Roman"/>
          <w:color w:val="1F2937"/>
          <w:sz w:val="22"/>
          <w:szCs w:val="22"/>
        </w:rPr>
        <w:t xml:space="preserve">Ces données concernent l'hypnose clinique en général. Des études spécifiques sur les effets conversationnels subtils sont plus rares et leurs conclusions moins robustes : la prudence s'impose avant d'extrapoler à l'hypnose conversationnelle ordinaire.</w:t>
      </w:r>
    </w:p>
    <w:p>
      <w:pPr>
        <w:spacing w:after="80" w:before="60"/>
      </w:pPr>
      <w:r>
        <w:rPr>
          <w:rFonts w:ascii="Times New Roman" w:cs="Times New Roman" w:eastAsia="Times New Roman" w:hAnsi="Times New Roman"/>
          <w:color w:val="1F2937"/>
          <w:sz w:val="22"/>
          <w:szCs w:val="22"/>
        </w:rPr>
        <w:t xml:space="preserve">Limite importante : les revues méta-analytiques sur l'efficacité de l'hypnose (Rosendahl, Alldredge &amp; Haddenhorst, 2023, Frontiers in Psychology, doi: 10.3389/fpsyg.2023.1330238) portent sur des protocoles cliniques structurés, pas sur des conversations ordinaires. On ne peut pas transférer leurs conclusions à un usage conversationnel non structuré.</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Pratique (80 %) — Trois exercices progressifs</w:t>
      </w:r>
    </w:p>
    <w:p>
      <w:pPr>
        <w:pStyle w:val="Heading3"/>
        <w:spacing w:after="80" w:before="200"/>
      </w:pPr>
      <w:r>
        <w:rPr>
          <w:rFonts w:ascii="Times New Roman" w:cs="Times New Roman" w:eastAsia="Times New Roman" w:hAnsi="Times New Roman"/>
          <w:b/>
          <w:bCs/>
          <w:color w:val="1F2937"/>
          <w:sz w:val="26"/>
          <w:szCs w:val="26"/>
        </w:rPr>
        <w:t xml:space="preserve">Exercice 1 — Identifier les patterns dans des phrases concrètes</w:t>
      </w:r>
    </w:p>
    <w:p>
      <w:pPr>
        <w:spacing w:after="80" w:before="60"/>
      </w:pPr>
      <w:r>
        <w:rPr>
          <w:rFonts w:ascii="Times New Roman" w:cs="Times New Roman" w:eastAsia="Times New Roman" w:hAnsi="Times New Roman"/>
          <w:color w:val="1F2937"/>
          <w:sz w:val="22"/>
          <w:szCs w:val="22"/>
        </w:rPr>
        <w:t xml:space="preserve">Durée estimée : 15-20 minutes. Matériel : papier, crayon.</w:t>
      </w:r>
    </w:p>
    <w:p>
      <w:pPr>
        <w:spacing w:after="80" w:before="60"/>
      </w:pPr>
      <w:r>
        <w:rPr>
          <w:rFonts w:ascii="Times New Roman" w:cs="Times New Roman" w:eastAsia="Times New Roman" w:hAnsi="Times New Roman"/>
          <w:color w:val="1F2937"/>
          <w:sz w:val="22"/>
          <w:szCs w:val="22"/>
        </w:rPr>
        <w:t xml:space="preserve">Pour chacune des phrases ci-dessous, identifie le ou les patterns utilisés en t'aidant du tableau de la section théorie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"Il peut être intéressant de remarquer comment le corps s'alourdit naturellement lorsqu'on s'assoit pour réfléchir."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"Certaines personnes préfèrent commencer par quelques respirations lentes, d'autres préfèrent simplement s'installer confortablement — à toi de voir ce qui te convient le mieux."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"Et je me demande si tu as déjà remarqué à quel point une conversation peut parfois ressembler à un voyage."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"Quand tu auras terminé cet exercice, tu pourras noter ce que tu as observé."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"Tu sais ce que tu ne sais pas encore que tu sais."</w:t>
      </w:r>
    </w:p>
    <w:p>
      <w:r>
        <w:t xml:space="preserve"/>
      </w:r>
    </w:p>
    <w:p>
      <w:pPr>
        <w:spacing w:after="80" w:before="60"/>
      </w:pPr>
      <w:r>
        <w:rPr>
          <w:rFonts w:ascii="Times New Roman" w:cs="Times New Roman" w:eastAsia="Times New Roman" w:hAnsi="Times New Roman"/>
          <w:color w:val="1F2937"/>
          <w:sz w:val="22"/>
          <w:szCs w:val="22"/>
        </w:rPr>
        <w:t xml:space="preserve">Corrigé indicatif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Phrase 1 : suggestion indirecte + présupposition (le corps s'alourdit "naturellement" → tenu pour acquis)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Phrase 2 : double bind positif (les deux options mènent à la même chose : s'installer)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Phrase 3 : question orientée + métaphore (la conversation comme voyage)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Phrase 4 : présupposition temporelle ("quand tu auras terminé" → l'achèvement est tenu pour acquis)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Phrase 5 : confusion de langage (saturation de la logique consciente par redondance)</w:t>
      </w:r>
    </w:p>
    <w:p>
      <w:r>
        <w:t xml:space="preserve"/>
      </w:r>
    </w:p>
    <w:p>
      <w:pPr>
        <w:spacing w:after="80" w:before="60"/>
      </w:pPr>
      <w:r>
        <w:rPr>
          <w:rFonts w:ascii="Times New Roman" w:cs="Times New Roman" w:eastAsia="Times New Roman" w:hAnsi="Times New Roman"/>
          <w:color w:val="1F2937"/>
          <w:sz w:val="22"/>
          <w:szCs w:val="22"/>
        </w:rPr>
        <w:t xml:space="preserve">Note : les patterns peuvent se combiner dans une même phrase — c'est précisément ce qui rend le langage hypnotique dense et efficace.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Pacing &amp; leading en conversation réelle</w:t>
      </w:r>
    </w:p>
    <w:p>
      <w:pPr>
        <w:spacing w:after="80" w:before="60"/>
      </w:pPr>
      <w:r>
        <w:rPr>
          <w:rFonts w:ascii="Times New Roman" w:cs="Times New Roman" w:eastAsia="Times New Roman" w:hAnsi="Times New Roman"/>
          <w:color w:val="1F2937"/>
          <w:sz w:val="22"/>
          <w:szCs w:val="22"/>
        </w:rPr>
        <w:t xml:space="preserve">Durée estimée : 2-3 jours de pratique en situation ordinaire.</w:t>
      </w:r>
    </w:p>
    <w:p>
      <w:pPr>
        <w:spacing w:after="80" w:before="60"/>
      </w:pPr>
      <w:r>
        <w:rPr>
          <w:rFonts w:ascii="Times New Roman" w:cs="Times New Roman" w:eastAsia="Times New Roman" w:hAnsi="Times New Roman"/>
          <w:color w:val="1F2937"/>
          <w:sz w:val="22"/>
          <w:szCs w:val="22"/>
        </w:rPr>
        <w:t xml:space="preserve">Protocole en trois temps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1 — Observer (jour 1) : dans ta prochaine conversation importante, observe le rythme de parole de ton interlocuteur, sa posture, son volume. Note mentalement ces éléments sans rien changer à ta propre façon d'être.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2 — Synchroniser (jour 2) : dans une conversation choisie (calme, sans enjeu fort), ajuste progressivement ton propre rythme de parole et ta respiration à ceux de ton interlocuteur. Reste naturel — l'objectif n'est pas d'imiter, mais de s'accorder.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Phase 3 — Guider (jour 3) : après quelques minutes de pacing, modifie légèrement ton propre rythme (ralentis, parle plus doucement) et observe si l'interlocuteur s'ajuste. Ce phénomène s'appelle le "leading".</w:t>
      </w:r>
    </w:p>
    <w:p>
      <w:r>
        <w:t xml:space="preserve"/>
      </w:r>
    </w:p>
    <w:p>
      <w:pPr>
        <w:shd w:fill="F3F4F6" w:val="clear"/>
        <w:spacing w:after="100" w:before="100"/>
        <w:ind w:left="200" w:right="200"/>
      </w:pPr>
      <w:r>
        <w:rPr>
          <w:rFonts w:ascii="Times New Roman" w:cs="Times New Roman" w:eastAsia="Times New Roman" w:hAnsi="Times New Roman"/>
          <w:i/>
          <w:iCs/>
          <w:color w:val="1F2937"/>
          <w:sz w:val="22"/>
          <w:szCs w:val="22"/>
        </w:rPr>
        <w:t xml:space="preserve">Observation clé : si le pacing a bien fonctionné, l'interlocuteur tend à suivre ta modification. Ce n'est pas de la manipulation : c'est la dynamique naturelle de toute interaction synchronisée. Un chef d'orchestre fait la même chose.</w:t>
      </w:r>
    </w:p>
    <w:p>
      <w:r>
        <w:t xml:space="preserve"/>
      </w:r>
    </w:p>
    <w:p>
      <w:pPr>
        <w:spacing w:after="80" w:before="60"/>
      </w:pPr>
      <w:r>
        <w:rPr>
          <w:rFonts w:ascii="Times New Roman" w:cs="Times New Roman" w:eastAsia="Times New Roman" w:hAnsi="Times New Roman"/>
          <w:color w:val="1F2937"/>
          <w:sz w:val="22"/>
          <w:szCs w:val="22"/>
        </w:rPr>
        <w:t xml:space="preserve">Journal de pratique : note après chaque session (3-4 lignes) : Qu'est-ce que j'ai observé ? Quand le leading a-t-il semblé fonctionner ou non ? Quelles résistances ai-je rencontrées ?</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Reformuler en indirect : l'atelier des phrases</w:t>
      </w:r>
    </w:p>
    <w:p>
      <w:pPr>
        <w:spacing w:after="80" w:before="60"/>
      </w:pPr>
      <w:r>
        <w:rPr>
          <w:rFonts w:ascii="Times New Roman" w:cs="Times New Roman" w:eastAsia="Times New Roman" w:hAnsi="Times New Roman"/>
          <w:color w:val="1F2937"/>
          <w:sz w:val="22"/>
          <w:szCs w:val="22"/>
        </w:rPr>
        <w:t xml:space="preserve">Durée estimée : 20-30 minutes.</w:t>
      </w:r>
    </w:p>
    <w:p>
      <w:pPr>
        <w:spacing w:after="80" w:before="60"/>
      </w:pPr>
      <w:r>
        <w:rPr>
          <w:rFonts w:ascii="Times New Roman" w:cs="Times New Roman" w:eastAsia="Times New Roman" w:hAnsi="Times New Roman"/>
          <w:color w:val="1F2937"/>
          <w:sz w:val="22"/>
          <w:szCs w:val="22"/>
        </w:rPr>
        <w:t xml:space="preserve">Pour chacune des phrases directives ci-dessous, propose une ou deux reformulations indirectes et permissives. L'objectif est le même ; seule la forme change.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r>
              <w:rPr>
                <w:rFonts w:ascii="Times New Roman" w:cs="Times New Roman" w:eastAsia="Times New Roman" w:hAnsi="Times New Roman"/>
                <w:b/>
                <w:bCs/>
                <w:color w:val="FFFFFF"/>
                <w:sz w:val="20"/>
                <w:szCs w:val="20"/>
              </w:rPr>
              <w:t xml:space="preserve">Phrase directive (à transformer)</w:t>
            </w:r>
          </w:p>
        </w:tc>
        <w:tc>
          <w:tcPr>
            <w:shd w:fill="1B3A6B" w:val="clear"/>
          </w:tcPr>
          <w:p>
            <w:r>
              <w:rPr>
                <w:rFonts w:ascii="Times New Roman" w:cs="Times New Roman" w:eastAsia="Times New Roman" w:hAnsi="Times New Roman"/>
                <w:b/>
                <w:bCs/>
                <w:color w:val="FFFFFF"/>
                <w:sz w:val="20"/>
                <w:szCs w:val="20"/>
              </w:rPr>
              <w:t xml:space="preserve">Ta reformulation indirecte</w:t>
            </w:r>
          </w:p>
        </w:tc>
      </w:tr>
      <w:tr>
        <w:tc>
          <w:tcPr>
            <w:shd w:fill="FFFFFF" w:val="clear"/>
          </w:tcPr>
          <w:p>
            <w:r>
              <w:rPr>
                <w:rFonts w:ascii="Times New Roman" w:cs="Times New Roman" w:eastAsia="Times New Roman" w:hAnsi="Times New Roman"/>
                <w:color w:val="1F2937"/>
                <w:sz w:val="20"/>
                <w:szCs w:val="20"/>
              </w:rPr>
              <w:t xml:space="preserve">"Respire lentement."</w:t>
            </w:r>
          </w:p>
        </w:tc>
        <w:tc>
          <w:tcPr>
            <w:shd w:fill="FFFFFF" w:val="clear"/>
          </w:tcPr>
          <w:p>
            <w:r>
              <w:rPr>
                <w:rFonts w:ascii="Times New Roman" w:cs="Times New Roman" w:eastAsia="Times New Roman" w:hAnsi="Times New Roman"/>
                <w:color w:val="1F2937"/>
                <w:sz w:val="20"/>
                <w:szCs w:val="20"/>
              </w:rPr>
              <w:t xml:space="preserve">…</w:t>
            </w:r>
          </w:p>
        </w:tc>
      </w:tr>
      <w:tr>
        <w:tc>
          <w:tcPr>
            <w:shd w:fill="EEF2F7" w:val="clear"/>
          </w:tcPr>
          <w:p>
            <w:r>
              <w:rPr>
                <w:rFonts w:ascii="Times New Roman" w:cs="Times New Roman" w:eastAsia="Times New Roman" w:hAnsi="Times New Roman"/>
                <w:color w:val="1F2937"/>
                <w:sz w:val="20"/>
                <w:szCs w:val="20"/>
              </w:rPr>
              <w:t xml:space="preserve">"Arrête de te tendre."</w:t>
            </w:r>
          </w:p>
        </w:tc>
        <w:tc>
          <w:tcPr>
            <w:shd w:fill="EEF2F7" w:val="clear"/>
          </w:tcPr>
          <w:p>
            <w:r>
              <w:rPr>
                <w:rFonts w:ascii="Times New Roman" w:cs="Times New Roman" w:eastAsia="Times New Roman" w:hAnsi="Times New Roman"/>
                <w:color w:val="1F2937"/>
                <w:sz w:val="20"/>
                <w:szCs w:val="20"/>
              </w:rPr>
              <w:t xml:space="preserve">…</w:t>
            </w:r>
          </w:p>
        </w:tc>
      </w:tr>
      <w:tr>
        <w:tc>
          <w:tcPr>
            <w:shd w:fill="FFFFFF" w:val="clear"/>
          </w:tcPr>
          <w:p>
            <w:r>
              <w:rPr>
                <w:rFonts w:ascii="Times New Roman" w:cs="Times New Roman" w:eastAsia="Times New Roman" w:hAnsi="Times New Roman"/>
                <w:color w:val="1F2937"/>
                <w:sz w:val="20"/>
                <w:szCs w:val="20"/>
              </w:rPr>
              <w:t xml:space="preserve">"Concentre-toi."</w:t>
            </w:r>
          </w:p>
        </w:tc>
        <w:tc>
          <w:tcPr>
            <w:shd w:fill="FFFFFF" w:val="clear"/>
          </w:tcPr>
          <w:p>
            <w:r>
              <w:rPr>
                <w:rFonts w:ascii="Times New Roman" w:cs="Times New Roman" w:eastAsia="Times New Roman" w:hAnsi="Times New Roman"/>
                <w:color w:val="1F2937"/>
                <w:sz w:val="20"/>
                <w:szCs w:val="20"/>
              </w:rPr>
              <w:t xml:space="preserve">…</w:t>
            </w:r>
          </w:p>
        </w:tc>
      </w:tr>
      <w:tr>
        <w:tc>
          <w:tcPr>
            <w:shd w:fill="EEF2F7" w:val="clear"/>
          </w:tcPr>
          <w:p>
            <w:r>
              <w:rPr>
                <w:rFonts w:ascii="Times New Roman" w:cs="Times New Roman" w:eastAsia="Times New Roman" w:hAnsi="Times New Roman"/>
                <w:color w:val="1F2937"/>
                <w:sz w:val="20"/>
                <w:szCs w:val="20"/>
              </w:rPr>
              <w:t xml:space="preserve">"Détends-toi."</w:t>
            </w:r>
          </w:p>
        </w:tc>
        <w:tc>
          <w:tcPr>
            <w:shd w:fill="EEF2F7" w:val="clear"/>
          </w:tcPr>
          <w:p>
            <w:r>
              <w:rPr>
                <w:rFonts w:ascii="Times New Roman" w:cs="Times New Roman" w:eastAsia="Times New Roman" w:hAnsi="Times New Roman"/>
                <w:color w:val="1F2937"/>
                <w:sz w:val="20"/>
                <w:szCs w:val="20"/>
              </w:rPr>
              <w:t xml:space="preserve">…</w:t>
            </w:r>
          </w:p>
        </w:tc>
      </w:tr>
      <w:tr>
        <w:tc>
          <w:tcPr>
            <w:shd w:fill="FFFFFF" w:val="clear"/>
          </w:tcPr>
          <w:p>
            <w:r>
              <w:rPr>
                <w:rFonts w:ascii="Times New Roman" w:cs="Times New Roman" w:eastAsia="Times New Roman" w:hAnsi="Times New Roman"/>
                <w:color w:val="1F2937"/>
                <w:sz w:val="20"/>
                <w:szCs w:val="20"/>
              </w:rPr>
              <w:t xml:space="preserve">"Écoute-moi."</w:t>
            </w:r>
          </w:p>
        </w:tc>
        <w:tc>
          <w:tcPr>
            <w:shd w:fill="FFFFFF" w:val="clear"/>
          </w:tcPr>
          <w:p>
            <w:r>
              <w:rPr>
                <w:rFonts w:ascii="Times New Roman" w:cs="Times New Roman" w:eastAsia="Times New Roman" w:hAnsi="Times New Roman"/>
                <w:color w:val="1F2937"/>
                <w:sz w:val="20"/>
                <w:szCs w:val="20"/>
              </w:rPr>
              <w:t xml:space="preserve">…</w:t>
            </w:r>
          </w:p>
        </w:tc>
      </w:tr>
    </w:tbl>
    <w:p>
      <w:r>
        <w:t xml:space="preserve"/>
      </w:r>
    </w:p>
    <w:p>
      <w:pPr>
        <w:spacing w:after="80" w:before="60"/>
      </w:pPr>
      <w:r>
        <w:rPr>
          <w:rFonts w:ascii="Times New Roman" w:cs="Times New Roman" w:eastAsia="Times New Roman" w:hAnsi="Times New Roman"/>
          <w:color w:val="1F2937"/>
          <w:sz w:val="22"/>
          <w:szCs w:val="22"/>
        </w:rPr>
        <w:t xml:space="preserve">Exemples de reformulations possibles (non exhaustives)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"Respire lentement." → "Il est parfois agréable de laisser la respiration trouver d'elle-même son rythme naturel."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"Arrête de te tendre." → "Je me demande ce qui pourrait te permettre de te sentir un peu plus à l'aise dans les prochaines minutes."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"Concentre-toi." → "Et tu pourrais peut-être remarquer quel aspect de cette question retient le plus ton attention."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"Détends-toi." → "Certaines personnes trouvent utile de laisser les épaules s'alourdir légèrement lorsqu'elles s'assoient."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"Écoute-moi." → "Et tu peux, si tu le souhaites, laisser ces mots trouver leur place à leur propre rythme."</w:t>
      </w:r>
    </w:p>
    <w:p>
      <w:r>
        <w:t xml:space="preserve"/>
      </w:r>
    </w:p>
    <w:p>
      <w:pPr>
        <w:spacing w:after="80" w:before="60"/>
      </w:pPr>
      <w:r>
        <w:rPr>
          <w:rFonts w:ascii="Times New Roman" w:cs="Times New Roman" w:eastAsia="Times New Roman" w:hAnsi="Times New Roman"/>
          <w:color w:val="1F2937"/>
          <w:sz w:val="22"/>
          <w:szCs w:val="22"/>
        </w:rPr>
        <w:t xml:space="preserve">Observation après l'exercice : quelles reformulations te semblent naturelles ? Lesquelles te semblent artificielles ou forced ? Note tes réactions dans ton journal.</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Challenge — Journal de communication conversationnelle (3 jours)</w:t>
      </w:r>
    </w:p>
    <w:p>
      <w:pPr>
        <w:spacing w:after="80" w:before="60"/>
      </w:pPr>
      <w:r>
        <w:rPr>
          <w:rFonts w:ascii="Times New Roman" w:cs="Times New Roman" w:eastAsia="Times New Roman" w:hAnsi="Times New Roman"/>
          <w:color w:val="1F2937"/>
          <w:sz w:val="22"/>
          <w:szCs w:val="22"/>
        </w:rPr>
        <w:t xml:space="preserve">Pendant les trois prochains jours, tiens un court journal (5 minutes par soir) dans lequel tu notes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moment de la journée où tu as utilisé (volontairement ou non) une suggestion indirecte ou une reformulation permissive.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réaction de ton interlocuteur : a-t-il/elle semblé plus réceptif/ve ? Moins défensif/ve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moment où une suggestion directe ("fais X") aurait pu être reformulée en indirect — et comment.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pattern du tableau que tu veux expérimenter le lendemain.</w:t>
      </w:r>
    </w:p>
    <w:p>
      <w:r>
        <w:t xml:space="preserve"/>
      </w:r>
    </w:p>
    <w:p>
      <w:pPr>
        <w:spacing w:after="80" w:before="60"/>
      </w:pPr>
      <w:r>
        <w:rPr>
          <w:rFonts w:ascii="Times New Roman" w:cs="Times New Roman" w:eastAsia="Times New Roman" w:hAnsi="Times New Roman"/>
          <w:color w:val="1F2937"/>
          <w:sz w:val="22"/>
          <w:szCs w:val="22"/>
        </w:rPr>
        <w:t xml:space="preserve">À la fin des 3 jours : relis tes notes et identifie le pattern avec lequel tu te sens le plus à l'aise, et celui qui te semble encore artificiel. C'est ton point de travail pour la suite.</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Pont pro (court)</w:t>
      </w:r>
    </w:p>
    <w:p>
      <w:pPr>
        <w:shd w:fill="F3F4F6" w:val="clear"/>
        <w:spacing w:after="100" w:before="100"/>
        <w:ind w:left="200" w:right="200"/>
      </w:pPr>
      <w:r>
        <w:rPr>
          <w:rFonts w:ascii="Times New Roman" w:cs="Times New Roman" w:eastAsia="Times New Roman" w:hAnsi="Times New Roman"/>
          <w:i/>
          <w:iCs/>
          <w:color w:val="1F2937"/>
          <w:sz w:val="22"/>
          <w:szCs w:val="22"/>
        </w:rPr>
        <w:t xml:space="preserve">Dans ton rôle de chef de service, ta communication avec les équipes et avec les personnes accompagnées gagne à être plus permissive que directive dans certains contextes : entretien d'accompagnement, gestion d'un moment de tension, animation d'une réunion d'équipe. Les principes du pacing/leading ou des questions orientées relèvent de la communication professionnelle consciente, non de l'hypnose. Ce que tu développes ici — une attention fine au langage et à la relation — est directement transférable dans ta pratique de cadre, sans jamais invoquer l'hypnose ni pratiquer quoi que ce soit qui exigerait une qualification que tu n'as pas.</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40" w:before="80"/>
      </w:pPr>
      <w:hyperlink w:history="1" r:id="rIdobczwzszd4w2fypunywpt">
        <w:r>
          <w:rPr>
            <w:rFonts w:ascii="Times New Roman" w:cs="Times New Roman" w:eastAsia="Times New Roman" w:hAnsi="Times New Roman"/>
            <w:b/>
            <w:bCs/>
            <w:color w:val="1155CC"/>
            <w:sz w:val="22"/>
            <w:szCs w:val="22"/>
            <w:u w:val="single"/>
          </w:rPr>
          <w:t xml:space="preserve">Wikipedia — Hypnosis (English)</w:t>
        </w:r>
      </w:hyperlink>
      <w:r>
        <w:rPr>
          <w:rFonts w:ascii="Times New Roman" w:cs="Times New Roman" w:eastAsia="Times New Roman" w:hAnsi="Times New Roman"/>
          <w:color w:val="1F2937"/>
          <w:sz w:val="22"/>
          <w:szCs w:val="22"/>
        </w:rPr>
        <w:t xml:space="preserve"> — Article encyclopédique de référence : définition, mécanismes, distinction directif/permissif, rôle d'Erickson. 200 testé.</w:t>
      </w:r>
    </w:p>
    <w:p>
      <w:pPr>
        <w:spacing w:after="40" w:before="80"/>
      </w:pPr>
      <w:hyperlink w:history="1" r:id="rIdf5xfxd6oxk5t65xmlt6hh">
        <w:r>
          <w:rPr>
            <w:rFonts w:ascii="Times New Roman" w:cs="Times New Roman" w:eastAsia="Times New Roman" w:hAnsi="Times New Roman"/>
            <w:b/>
            <w:bCs/>
            <w:color w:val="1155CC"/>
            <w:sz w:val="22"/>
            <w:szCs w:val="22"/>
            <w:u w:val="single"/>
          </w:rPr>
          <w:t xml:space="preserve">Milton H. Erickson Foundation</w:t>
        </w:r>
      </w:hyperlink>
      <w:r>
        <w:rPr>
          <w:rFonts w:ascii="Times New Roman" w:cs="Times New Roman" w:eastAsia="Times New Roman" w:hAnsi="Times New Roman"/>
          <w:color w:val="1F2937"/>
          <w:sz w:val="22"/>
          <w:szCs w:val="22"/>
        </w:rPr>
        <w:t xml:space="preserve"> — Site de la fondation dédiée à l'œuvre d'Erickson : doctrine, formations, archives. Légitime comme source de la pensée ericksonienne, pas comme juge de son efficacité. 200 testé.</w:t>
      </w:r>
    </w:p>
    <w:p>
      <w:pPr>
        <w:spacing w:after="40" w:before="80"/>
      </w:pPr>
      <w:hyperlink w:history="1" r:id="rId4iyvwmi6h5g06tggthg0z">
        <w:r>
          <w:rPr>
            <w:rFonts w:ascii="Times New Roman" w:cs="Times New Roman" w:eastAsia="Times New Roman" w:hAnsi="Times New Roman"/>
            <w:b/>
            <w:bCs/>
            <w:color w:val="1155CC"/>
            <w:sz w:val="22"/>
            <w:szCs w:val="22"/>
            <w:u w:val="single"/>
          </w:rPr>
          <w:t xml:space="preserve">Gallardo &amp; Chetri (2026) — Hypnosis as a Mechanism of Emotion Regulation and Self-Integration</w:t>
        </w:r>
      </w:hyperlink>
      <w:r>
        <w:rPr>
          <w:rFonts w:ascii="Times New Roman" w:cs="Times New Roman" w:eastAsia="Times New Roman" w:hAnsi="Times New Roman"/>
          <w:color w:val="1F2937"/>
          <w:sz w:val="22"/>
          <w:szCs w:val="22"/>
        </w:rPr>
        <w:t xml:space="preserve"> — Revue intégrative sur les mécanismes neuroscientifiques de l'hypnose (DMN, ECN, SaN). Behavioral Sciences, doi: 10.3390/bs16030395. 200 testé.</w:t>
      </w:r>
    </w:p>
    <w:p>
      <w:pPr>
        <w:spacing w:after="40" w:before="80"/>
      </w:pPr>
      <w:hyperlink w:history="1" r:id="rIdyirdfeo4ighq2k66us0nd">
        <w:r>
          <w:rPr>
            <w:rFonts w:ascii="Times New Roman" w:cs="Times New Roman" w:eastAsia="Times New Roman" w:hAnsi="Times New Roman"/>
            <w:b/>
            <w:bCs/>
            <w:color w:val="1155CC"/>
            <w:sz w:val="22"/>
            <w:szCs w:val="22"/>
            <w:u w:val="single"/>
          </w:rPr>
          <w:t xml:space="preserve">Rosendahl, Alldredge &amp; Haddenhorst (2023) — Meta-analytic evidence on the efficacy of hypnosis</w:t>
        </w:r>
      </w:hyperlink>
      <w:r>
        <w:rPr>
          <w:rFonts w:ascii="Times New Roman" w:cs="Times New Roman" w:eastAsia="Times New Roman" w:hAnsi="Times New Roman"/>
          <w:color w:val="1F2937"/>
          <w:sz w:val="22"/>
          <w:szCs w:val="22"/>
        </w:rPr>
        <w:t xml:space="preserve"> — Vue d'ensemble des méta-analyses sur l'efficacité clinique de l'hypnose (20 ans de littérature). Frontiers in Psychology, doi: 10.3389/fpsyg.2023.1330238. 200 testé.</w:t>
      </w:r>
    </w:p>
    <w:p>
      <w:pPr>
        <w:spacing w:after="40" w:before="80"/>
      </w:pPr>
      <w:hyperlink w:history="1" r:id="rId7kxpkhcndelun3qcejjp7">
        <w:r>
          <w:rPr>
            <w:rFonts w:ascii="Times New Roman" w:cs="Times New Roman" w:eastAsia="Times New Roman" w:hAnsi="Times New Roman"/>
            <w:b/>
            <w:bCs/>
            <w:color w:val="1155CC"/>
            <w:sz w:val="22"/>
            <w:szCs w:val="22"/>
            <w:u w:val="single"/>
          </w:rPr>
          <w:t xml:space="preserve">Infirmiers.com — Intérêt de l'hypnose dans la pratique infirmière</w:t>
        </w:r>
      </w:hyperlink>
      <w:r>
        <w:rPr>
          <w:rFonts w:ascii="Times New Roman" w:cs="Times New Roman" w:eastAsia="Times New Roman" w:hAnsi="Times New Roman"/>
          <w:color w:val="1F2937"/>
          <w:sz w:val="22"/>
          <w:szCs w:val="22"/>
        </w:rPr>
        <w:t xml:space="preserve"> — Article professionnel (2019) sur l'hypnose en soins : méthode psychocorporelle, principes, compétences requises. 200 testé.</w:t>
      </w:r>
    </w:p>
    <w:p>
      <w:pPr>
        <w:spacing w:after="40" w:before="80"/>
      </w:pPr>
      <w:r>
        <w:rPr>
          <w:rFonts w:ascii="Times New Roman" w:cs="Times New Roman" w:eastAsia="Times New Roman" w:hAnsi="Times New Roman"/>
          <w:b/>
          <w:bCs/>
          <w:color w:val="1F2937"/>
          <w:sz w:val="22"/>
          <w:szCs w:val="22"/>
        </w:rPr>
        <w:t xml:space="preserve">Cairn.info — Hypnose en soins infirmiers (Dunod)</w:t>
      </w:r>
      <w:r>
        <w:rPr>
          <w:rFonts w:ascii="Times New Roman" w:cs="Times New Roman" w:eastAsia="Times New Roman" w:hAnsi="Times New Roman"/>
          <w:color w:val="1F2937"/>
          <w:sz w:val="22"/>
          <w:szCs w:val="22"/>
        </w:rPr>
        <w:t xml:space="preserve"> — Chapitre 7 "Hypnose conversationnelle ou comment améliorer sa communication lors des soins" (référencé via moteur de recherche). ⛔ Accès direct bloqué pour les robots, consultation manuelle possible via https://www.cairn.info/</w:t>
      </w:r>
    </w:p>
    <w:p>
      <w: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 (n°15)</w:t>
      </w:r>
    </w:p>
    <w:p>
      <w:pPr>
        <w:spacing w:after="80" w:before="60"/>
      </w:pPr>
      <w:r>
        <w:rPr>
          <w:rFonts w:ascii="Times New Roman" w:cs="Times New Roman" w:eastAsia="Times New Roman" w:hAnsi="Times New Roman"/>
          <w:color w:val="1F2937"/>
          <w:sz w:val="22"/>
          <w:szCs w:val="22"/>
        </w:rPr>
        <w:t xml:space="preserve">Thème : Hypnose et troubles du sommeil — applications documentées, protocoles d'auto-hypnose adaptés à l'insomnie et à la qualité du sommeil, et ce que la littérature scientifique établit.</w:t>
      </w:r>
    </w:p>
    <w:p>
      <w:r>
        <w:t xml:space="preserve"/>
      </w:r>
    </w:p>
    <w:p>
      <w:pPr>
        <w:pBdr>
          <w:bottom w:val="single" w:color="1B3A6B" w:sz="6"/>
        </w:pBdr>
        <w:spacing w:after="100" w:before="100"/>
      </w:pPr>
    </w:p>
    <w:p>
      <w:pPr>
        <w:spacing w:after="0" w:before="120"/>
        <w:jc w:val="center"/>
      </w:pPr>
      <w:r>
        <w:rPr>
          <w:rFonts w:ascii="Times New Roman" w:cs="Times New Roman" w:eastAsia="Times New Roman" w:hAnsi="Times New Roman"/>
          <w:i/>
          <w:iCs/>
          <w:color w:val="1B3A6B"/>
          <w:sz w:val="18"/>
          <w:szCs w:val="18"/>
        </w:rPr>
        <w:t xml:space="preserve">Parcours Hypnose &amp; auto-hypnose — Leçon 14/20 — 15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bczwzszd4w2fypunywpt" Type="http://schemas.openxmlformats.org/officeDocument/2006/relationships/hyperlink" Target="https://en.wikipedia.org/wiki/Hypnosis" TargetMode="External"/><Relationship Id="rIdf5xfxd6oxk5t65xmlt6hh" Type="http://schemas.openxmlformats.org/officeDocument/2006/relationships/hyperlink" Target="https://www.erickson-foundation.org/" TargetMode="External"/><Relationship Id="rId4iyvwmi6h5g06tggthg0z" Type="http://schemas.openxmlformats.org/officeDocument/2006/relationships/hyperlink" Target="https://pmc.ncbi.nlm.nih.gov/articles/PMC13024316/" TargetMode="External"/><Relationship Id="rIdyirdfeo4ighq2k66us0nd" Type="http://schemas.openxmlformats.org/officeDocument/2006/relationships/hyperlink" Target="https://pmc.ncbi.nlm.nih.gov/articles/PMC10807512/" TargetMode="External"/><Relationship Id="rId7kxpkhcndelun3qcejjp7" Type="http://schemas.openxmlformats.org/officeDocument/2006/relationships/hyperlink" Target="https://www.infirmiers.com/formation-professionnelle/interet-de-lhypnose-dans-la-pratique-infirmier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2026-09-15T07:11:12.235Z</dcterms:created>
  <dcterms:modified xsi:type="dcterms:W3CDTF">2026-09-15T07:11:12.252Z</dcterms:modified>
</cp:coreProperties>
</file>

<file path=docProps/custom.xml><?xml version="1.0" encoding="utf-8"?>
<Properties xmlns="http://schemas.openxmlformats.org/officeDocument/2006/custom-properties" xmlns:vt="http://schemas.openxmlformats.org/officeDocument/2006/docPropsVTypes"/>
</file>