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color w:val="1B3A6B"/>
          <w:sz w:val="52"/>
          <w:szCs w:val="52"/>
        </w:rPr>
        <w:t xml:space="preserve">Leçon Revenus passifs n°06</w:t>
      </w:r>
    </w:p>
    <w:p>
      <w:pPr>
        <w:spacing w:after="80"/>
        <w:jc w:val="center"/>
      </w:pPr>
      <w:r>
        <w:rPr>
          <w:rFonts w:ascii="Times New Roman" w:cs="Times New Roman" w:eastAsia="Times New Roman" w:hAnsi="Times New Roman"/>
          <w:b/>
          <w:bCs/>
          <w:color w:val="1B3A6B"/>
          <w:sz w:val="36"/>
          <w:szCs w:val="36"/>
        </w:rPr>
        <w:t xml:space="preserve">Placements à revenu : ETF distribuants, dividendes et immobilier locatif / SCPI</w:t>
      </w:r>
    </w:p>
    <w:p>
      <w:pPr>
        <w:spacing w:after="200"/>
        <w:jc w:val="center"/>
      </w:pPr>
      <w:r>
        <w:rPr>
          <w:rFonts w:ascii="Times New Roman" w:cs="Times New Roman" w:eastAsia="Times New Roman" w:hAnsi="Times New Roman"/>
          <w:color w:val="1F2937"/>
          <w:sz w:val="22"/>
          <w:szCs w:val="22"/>
        </w:rPr>
        <w:t xml:space="preserve">30 août 2026  ·  Leçon 06 / 10</w:t>
      </w:r>
    </w:p>
    <w:p>
      <w:pPr>
        <w:pStyle w:val="Heading2"/>
        <w:spacing w:after="160" w:before="320"/>
      </w:pPr>
      <w:r>
        <w:rPr>
          <w:rFonts w:ascii="Times New Roman" w:cs="Times New Roman" w:eastAsia="Times New Roman" w:hAnsi="Times New Roman"/>
          <w:b/>
          <w:bCs/>
          <w:color w:val="1B3A6B"/>
          <w:sz w:val="30"/>
          <w:szCs w:val="30"/>
        </w:rPr>
        <w:t xml:space="preserve">⚠️ Cadre déontologique</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Ce contenu est ÉDUCATIF et GÉNÉRALISTE. Il n'a pas valeur de conseil en investissement ni de recommandation personnalisée.</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En France, le conseil en investissement financier est une activité réglementée (statut CIF, registre ORIAS). Ce cours n'est pas dispensé par un conseiller agréé.</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Le secteur des « revenus passifs » est saturé de promesses trompeuses. Chaque section expose les taux d'échec documentés, le travail non passif caché, les coûts, la fiscalité et les signaux d'arnaque. Aucune décision d'investissement ne devrait être prise sur la seule base de ce cours.</w:t>
      </w:r>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Objectif et continuité</w:t>
      </w:r>
    </w:p>
    <w:p>
      <w:pPr>
        <w:spacing w:after="120"/>
      </w:pPr>
      <w:r>
        <w:rPr>
          <w:rFonts w:ascii="Times New Roman" w:cs="Times New Roman" w:eastAsia="Times New Roman" w:hAnsi="Times New Roman"/>
          <w:color w:val="1F2937"/>
          <w:sz w:val="22"/>
          <w:szCs w:val="22"/>
        </w:rPr>
        <w:t xml:space="preserve">En </w:t>
      </w:r>
      <w:r>
        <w:rPr>
          <w:rFonts w:ascii="Times New Roman" w:cs="Times New Roman" w:eastAsia="Times New Roman" w:hAnsi="Times New Roman"/>
          <w:b/>
          <w:bCs/>
          <w:color w:val="1F2937"/>
          <w:sz w:val="22"/>
          <w:szCs w:val="22"/>
        </w:rPr>
        <w:t xml:space="preserve">leçon 05</w:t>
      </w:r>
      <w:r>
        <w:rPr>
          <w:rFonts w:ascii="Times New Roman" w:cs="Times New Roman" w:eastAsia="Times New Roman" w:hAnsi="Times New Roman"/>
          <w:color w:val="1F2937"/>
          <w:sz w:val="22"/>
          <w:szCs w:val="22"/>
        </w:rPr>
        <w:t xml:space="preserve">, tu as analysé les produits numériques (ebooks, formations, templates) et les modèles d'affiliation — des actifs qui nécessitent un fort effort créatif initial mais un capital financier faible. Cette leçon explore l'autre grande famille : les </w:t>
      </w:r>
      <w:r>
        <w:rPr>
          <w:rFonts w:ascii="Times New Roman" w:cs="Times New Roman" w:eastAsia="Times New Roman" w:hAnsi="Times New Roman"/>
          <w:b/>
          <w:bCs/>
          <w:color w:val="1F2937"/>
          <w:sz w:val="22"/>
          <w:szCs w:val="22"/>
        </w:rPr>
        <w:t xml:space="preserve">actifs financiers et immobiliers générateurs de revenus réguliers</w:t>
      </w:r>
      <w:r>
        <w:rPr>
          <w:rFonts w:ascii="Times New Roman" w:cs="Times New Roman" w:eastAsia="Times New Roman" w:hAnsi="Times New Roman"/>
          <w:color w:val="1F2937"/>
          <w:sz w:val="22"/>
          <w:szCs w:val="22"/>
        </w:rPr>
        <w:t xml:space="preserve">.</w:t>
      </w:r>
    </w:p>
    <w:p>
      <w:pPr>
        <w:spacing w:after="120"/>
      </w:pPr>
      <w:r>
        <w:rPr>
          <w:rFonts w:ascii="Times New Roman" w:cs="Times New Roman" w:eastAsia="Times New Roman" w:hAnsi="Times New Roman"/>
          <w:color w:val="1F2937"/>
          <w:sz w:val="22"/>
          <w:szCs w:val="22"/>
        </w:rPr>
        <w:t xml:space="preserve">À l'issue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ETF capitalisants et ETF distribuants, et comprendre le mécanisme des dividendes ;</w:t>
      </w:r>
    </w:p>
    <w:p>
      <w:pPr>
        <w:pStyle w:val="ListParagraph"/>
        <w:numPr>
          <w:ilvl w:val="0"/>
          <w:numId w:val="1"/>
        </w:numPr>
        <w:spacing w:after="80"/>
      </w:pPr>
      <w:r>
        <w:rPr>
          <w:rFonts w:ascii="Times New Roman" w:cs="Times New Roman" w:eastAsia="Times New Roman" w:hAnsi="Times New Roman"/>
          <w:color w:val="1F2937"/>
          <w:sz w:val="22"/>
          <w:szCs w:val="22"/>
        </w:rPr>
        <w:t xml:space="preserve">calculer le rendement net d'imposition d'un placement à revenu (PFU vs barème progressif) ;</w:t>
      </w:r>
    </w:p>
    <w:p>
      <w:pPr>
        <w:pStyle w:val="ListParagraph"/>
        <w:numPr>
          <w:ilvl w:val="0"/>
          <w:numId w:val="1"/>
        </w:numPr>
        <w:spacing w:after="80"/>
      </w:pPr>
      <w:r>
        <w:rPr>
          <w:rFonts w:ascii="Times New Roman" w:cs="Times New Roman" w:eastAsia="Times New Roman" w:hAnsi="Times New Roman"/>
          <w:color w:val="1F2937"/>
          <w:sz w:val="22"/>
          <w:szCs w:val="22"/>
        </w:rPr>
        <w:t xml:space="preserve">lire un tableau de bord SCPI et ne pas confondre taux de distribution et performance globale ;</w:t>
      </w:r>
    </w:p>
    <w:p>
      <w:pPr>
        <w:pStyle w:val="ListParagraph"/>
        <w:numPr>
          <w:ilvl w:val="0"/>
          <w:numId w:val="1"/>
        </w:numPr>
        <w:spacing w:after="80"/>
      </w:pPr>
      <w:r>
        <w:rPr>
          <w:rFonts w:ascii="Times New Roman" w:cs="Times New Roman" w:eastAsia="Times New Roman" w:hAnsi="Times New Roman"/>
          <w:color w:val="1F2937"/>
          <w:sz w:val="22"/>
          <w:szCs w:val="22"/>
        </w:rPr>
        <w:t xml:space="preserve">estimer la rentabilité nette réelle d'un bien locatif direct (brute → nette charges → nette fiscalité).</w:t>
      </w:r>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Théorie (20 %)</w:t>
      </w:r>
    </w:p>
    <w:p>
      <w:pPr>
        <w:pStyle w:val="Heading3"/>
        <w:spacing w:after="100" w:before="200"/>
      </w:pPr>
      <w:r>
        <w:rPr>
          <w:rFonts w:ascii="Times New Roman" w:cs="Times New Roman" w:eastAsia="Times New Roman" w:hAnsi="Times New Roman"/>
          <w:b/>
          <w:bCs/>
          <w:color w:val="1F2937"/>
          <w:sz w:val="26"/>
          <w:szCs w:val="26"/>
        </w:rPr>
        <w:t xml:space="preserve">A. ETF distribuants et dividendes d'actions</w:t>
      </w:r>
    </w:p>
    <w:p>
      <w:pPr>
        <w:spacing w:after="120"/>
      </w:pPr>
      <w:r>
        <w:rPr>
          <w:rFonts w:ascii="Times New Roman" w:cs="Times New Roman" w:eastAsia="Times New Roman" w:hAnsi="Times New Roman"/>
          <w:color w:val="1F2937"/>
          <w:sz w:val="22"/>
          <w:szCs w:val="22"/>
        </w:rPr>
        <w:t xml:space="preserve">Un </w:t>
      </w:r>
      <w:r>
        <w:rPr>
          <w:rFonts w:ascii="Times New Roman" w:cs="Times New Roman" w:eastAsia="Times New Roman" w:hAnsi="Times New Roman"/>
          <w:b/>
          <w:bCs/>
          <w:color w:val="1F2937"/>
          <w:sz w:val="22"/>
          <w:szCs w:val="22"/>
        </w:rPr>
        <w:t xml:space="preserve">ETF (Exchange Traded Fund)</w:t>
      </w:r>
      <w:r>
        <w:rPr>
          <w:rFonts w:ascii="Times New Roman" w:cs="Times New Roman" w:eastAsia="Times New Roman" w:hAnsi="Times New Roman"/>
          <w:color w:val="1F2937"/>
          <w:sz w:val="22"/>
          <w:szCs w:val="22"/>
        </w:rPr>
        <w:t xml:space="preserve"> est un fonds indiciel coté en bourse qui réplique la performance d'un indice (CAC 40, MSCI World, S&amp;P 500…). Deux variantes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ETF capitalisant</w:t>
      </w:r>
      <w:r>
        <w:rPr>
          <w:rFonts w:ascii="Times New Roman" w:cs="Times New Roman" w:eastAsia="Times New Roman" w:hAnsi="Times New Roman"/>
          <w:color w:val="1F2937"/>
          <w:sz w:val="22"/>
          <w:szCs w:val="22"/>
        </w:rPr>
        <w:t xml:space="preserve"> : les dividendes perçus par le fonds sont automatiquement réinvestis. Aucun flux de trésorerie versé à l'investisseur. Effet boule de neige maximisé, mais pas de « revenu passif » au sens strict.</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ETF distribuant</w:t>
      </w:r>
      <w:r>
        <w:rPr>
          <w:rFonts w:ascii="Times New Roman" w:cs="Times New Roman" w:eastAsia="Times New Roman" w:hAnsi="Times New Roman"/>
          <w:color w:val="1F2937"/>
          <w:sz w:val="22"/>
          <w:szCs w:val="22"/>
        </w:rPr>
        <w:t xml:space="preserve"> : les dividendes sont versés périodiquement (souvent trimestriel ou annuel) sur le compte espèces. C'est cette variante qui génère un flux de revenu régulier.</w:t>
      </w:r>
    </w:p>
    <w:p>
      <w:pPr>
        <w:spacing w:after="80"/>
      </w:pPr>
      <w:r>
        <w:t xml:space="preserve"/>
      </w:r>
    </w:p>
    <w:p>
      <w:pPr>
        <w:spacing w:after="120"/>
      </w:pPr>
      <w:r>
        <w:rPr>
          <w:rFonts w:ascii="Times New Roman" w:cs="Times New Roman" w:eastAsia="Times New Roman" w:hAnsi="Times New Roman"/>
          <w:b/>
          <w:bCs/>
          <w:color w:val="1F2937"/>
          <w:sz w:val="22"/>
          <w:szCs w:val="22"/>
        </w:rPr>
        <w:t xml:space="preserve">Dividendes d'actions individuelles</w:t>
      </w:r>
      <w:r>
        <w:rPr>
          <w:rFonts w:ascii="Times New Roman" w:cs="Times New Roman" w:eastAsia="Times New Roman" w:hAnsi="Times New Roman"/>
          <w:color w:val="1F2937"/>
          <w:sz w:val="22"/>
          <w:szCs w:val="22"/>
        </w:rPr>
        <w:t xml:space="preserve"> : certaines entreprises distribuent une part de leurs bénéfices aux actionnaires. Le rendement du dividende se calcule :</w:t>
      </w:r>
    </w:p>
    <w:p>
      <w:pPr>
        <w:spacing w:after="120"/>
        <w:ind w:left="720"/>
      </w:pPr>
      <w:r>
        <w:rPr>
          <w:rFonts w:ascii="Times New Roman" w:cs="Times New Roman" w:eastAsia="Times New Roman" w:hAnsi="Times New Roman"/>
          <w:b/>
          <w:bCs/>
          <w:color w:val="1B3A6B"/>
          <w:sz w:val="22"/>
          <w:szCs w:val="22"/>
        </w:rPr>
        <w:t xml:space="preserve">Rendement dividende = Dividende annuel par action ÷ Prix de l'action × 100</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B. Fiscalité des revenus de placements financiers (France, 2026)</w:t>
      </w:r>
    </w:p>
    <w:p>
      <w:pPr>
        <w:pBdr>
          <w:left w:val="thick" w:color="1B3A6B" w:sz="12"/>
        </w:pBdr>
        <w:shd w:fill="EEF2F7" w:val="clear"/>
        <w:spacing w:after="100"/>
        <w:ind w:left="300"/>
      </w:pPr>
      <w:r>
        <w:rPr>
          <w:rFonts w:ascii="Times New Roman" w:cs="Times New Roman" w:eastAsia="Times New Roman" w:hAnsi="Times New Roman"/>
          <w:color w:val="1F2937"/>
          <w:sz w:val="22"/>
          <w:szCs w:val="22"/>
        </w:rPr>
        <w:t xml:space="preserve">Sources primaires consultées le 30/08/2026 : service-public.gouv.fr/vosdroits/F2613 et /vosdroits/F34913/1_7</w:t>
      </w:r>
    </w:p>
    <w:p>
      <w:pPr>
        <w:spacing w:after="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Option d'imposition</w:t>
            </w:r>
          </w:p>
        </w:tc>
        <w:tc>
          <w:tcPr>
            <w:shd w:fill="1B3A6B" w:val="clear"/>
          </w:tcPr>
          <w:p>
            <w:pPr>
              <w:jc w:val="center"/>
            </w:pPr>
            <w:r>
              <w:rPr>
                <w:rFonts w:ascii="Times New Roman" w:cs="Times New Roman" w:eastAsia="Times New Roman" w:hAnsi="Times New Roman"/>
                <w:b/>
                <w:bCs/>
                <w:color w:val="FFFFFF"/>
                <w:sz w:val="20"/>
                <w:szCs w:val="20"/>
              </w:rPr>
              <w:t xml:space="preserve">IR</w:t>
            </w:r>
          </w:p>
        </w:tc>
        <w:tc>
          <w:tcPr>
            <w:shd w:fill="1B3A6B" w:val="clear"/>
          </w:tcPr>
          <w:p>
            <w:pPr>
              <w:jc w:val="center"/>
            </w:pPr>
            <w:r>
              <w:rPr>
                <w:rFonts w:ascii="Times New Roman" w:cs="Times New Roman" w:eastAsia="Times New Roman" w:hAnsi="Times New Roman"/>
                <w:b/>
                <w:bCs/>
                <w:color w:val="FFFFFF"/>
                <w:sz w:val="20"/>
                <w:szCs w:val="20"/>
              </w:rPr>
              <w:t xml:space="preserve">Prélèvements sociaux</w:t>
            </w:r>
          </w:p>
        </w:tc>
        <w:tc>
          <w:tcPr>
            <w:shd w:fill="1B3A6B" w:val="clear"/>
          </w:tcPr>
          <w:p>
            <w:pPr>
              <w:jc w:val="center"/>
            </w:pPr>
            <w:r>
              <w:rPr>
                <w:rFonts w:ascii="Times New Roman" w:cs="Times New Roman" w:eastAsia="Times New Roman" w:hAnsi="Times New Roman"/>
                <w:b/>
                <w:bCs/>
                <w:color w:val="FFFFFF"/>
                <w:sz w:val="20"/>
                <w:szCs w:val="20"/>
              </w:rPr>
              <w:t xml:space="preserve">Total</w:t>
            </w:r>
          </w:p>
        </w:tc>
      </w:tr>
      <w:tr>
        <w:tc>
          <w:tcPr>
            <w:shd w:fill="FFFFFF" w:val="clear"/>
          </w:tcPr>
          <w:p>
            <w:r>
              <w:rPr>
                <w:rFonts w:ascii="Times New Roman" w:cs="Times New Roman" w:eastAsia="Times New Roman" w:hAnsi="Times New Roman"/>
                <w:color w:val="1F2937"/>
                <w:sz w:val="20"/>
                <w:szCs w:val="20"/>
              </w:rPr>
              <w:t xml:space="preserve">PFU (flat tax) — défaut</w:t>
            </w:r>
          </w:p>
        </w:tc>
        <w:tc>
          <w:tcPr>
            <w:shd w:fill="FFFFFF" w:val="clear"/>
          </w:tcPr>
          <w:p>
            <w:r>
              <w:rPr>
                <w:rFonts w:ascii="Times New Roman" w:cs="Times New Roman" w:eastAsia="Times New Roman" w:hAnsi="Times New Roman"/>
                <w:color w:val="1F2937"/>
                <w:sz w:val="20"/>
                <w:szCs w:val="20"/>
              </w:rPr>
              <w:t xml:space="preserve">12,8 %</w:t>
            </w:r>
          </w:p>
        </w:tc>
        <w:tc>
          <w:tcPr>
            <w:shd w:fill="FFFFFF" w:val="clear"/>
          </w:tcPr>
          <w:p>
            <w:r>
              <w:rPr>
                <w:rFonts w:ascii="Times New Roman" w:cs="Times New Roman" w:eastAsia="Times New Roman" w:hAnsi="Times New Roman"/>
                <w:color w:val="1F2937"/>
                <w:sz w:val="20"/>
                <w:szCs w:val="20"/>
              </w:rPr>
              <w:t xml:space="preserve">18,6 % (depuis 01/01/2026)</w:t>
            </w:r>
          </w:p>
        </w:tc>
        <w:tc>
          <w:tcPr>
            <w:shd w:fill="FFFFFF" w:val="clear"/>
          </w:tcPr>
          <w:p>
            <w:r>
              <w:rPr>
                <w:rFonts w:ascii="Times New Roman" w:cs="Times New Roman" w:eastAsia="Times New Roman" w:hAnsi="Times New Roman"/>
                <w:color w:val="1F2937"/>
                <w:sz w:val="20"/>
                <w:szCs w:val="20"/>
              </w:rPr>
              <w:t xml:space="preserve">31,4 %</w:t>
            </w:r>
          </w:p>
        </w:tc>
      </w:tr>
      <w:tr>
        <w:tc>
          <w:tcPr>
            <w:shd w:fill="EEF2F7" w:val="clear"/>
          </w:tcPr>
          <w:p>
            <w:r>
              <w:rPr>
                <w:rFonts w:ascii="Times New Roman" w:cs="Times New Roman" w:eastAsia="Times New Roman" w:hAnsi="Times New Roman"/>
                <w:color w:val="1F2937"/>
                <w:sz w:val="20"/>
                <w:szCs w:val="20"/>
              </w:rPr>
              <w:t xml:space="preserve">Barème progressif</w:t>
            </w:r>
          </w:p>
        </w:tc>
        <w:tc>
          <w:tcPr>
            <w:shd w:fill="EEF2F7" w:val="clear"/>
          </w:tcPr>
          <w:p>
            <w:r>
              <w:rPr>
                <w:rFonts w:ascii="Times New Roman" w:cs="Times New Roman" w:eastAsia="Times New Roman" w:hAnsi="Times New Roman"/>
                <w:color w:val="1F2937"/>
                <w:sz w:val="20"/>
                <w:szCs w:val="20"/>
              </w:rPr>
              <w:t xml:space="preserve">Selon tranche + abattement 40 % sur dividendes</w:t>
            </w:r>
          </w:p>
        </w:tc>
        <w:tc>
          <w:tcPr>
            <w:shd w:fill="EEF2F7" w:val="clear"/>
          </w:tcPr>
          <w:p>
            <w:r>
              <w:rPr>
                <w:rFonts w:ascii="Times New Roman" w:cs="Times New Roman" w:eastAsia="Times New Roman" w:hAnsi="Times New Roman"/>
                <w:color w:val="1F2937"/>
                <w:sz w:val="20"/>
                <w:szCs w:val="20"/>
              </w:rPr>
              <w:t xml:space="preserve">18,6 % (depuis 01/01/2026)</w:t>
            </w:r>
          </w:p>
        </w:tc>
        <w:tc>
          <w:tcPr>
            <w:shd w:fill="EEF2F7" w:val="clear"/>
          </w:tcPr>
          <w:p>
            <w:r>
              <w:rPr>
                <w:rFonts w:ascii="Times New Roman" w:cs="Times New Roman" w:eastAsia="Times New Roman" w:hAnsi="Times New Roman"/>
                <w:color w:val="1F2937"/>
                <w:sz w:val="20"/>
                <w:szCs w:val="20"/>
              </w:rPr>
              <w:t xml:space="preserve">Variable</w:t>
            </w:r>
          </w:p>
        </w:tc>
      </w:tr>
    </w:tbl>
    <w:p>
      <w:pPr>
        <w:spacing w:after="80"/>
      </w:pPr>
      <w:r>
        <w:t xml:space="preserve"/>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 Régimes dérogatoires — Prélèvements sociaux : le taux de 18,6 % s'applique aux revenus de placements standard (ETF, dividendes sur compte-titres). La page service-public.gouv.fr/F34913 précise que « des règles particulières s'appliquent à certains placements ou pour certaines situations (notamment antérieures à 2018) ». En pratique, l'assurance-vie, les contrats de capitalisation, les CEL et PEL ouverts jusqu'au 31/12/2017 et les PEP conservent le taux de 17,2 %. Vérifie auprès de ton établissement financier le taux applicable à chaque enveloppe avant tout calcul.</w:t>
      </w:r>
    </w:p>
    <w:p>
      <w:pPr>
        <w:spacing w:after="80"/>
      </w:pPr>
      <w:r>
        <w:t xml:space="preserve"/>
      </w:r>
    </w:p>
    <w:p>
      <w:pPr>
        <w:spacing w:after="120"/>
      </w:pPr>
      <w:r>
        <w:rPr>
          <w:rFonts w:ascii="Times New Roman" w:cs="Times New Roman" w:eastAsia="Times New Roman" w:hAnsi="Times New Roman"/>
          <w:color w:val="1F2937"/>
          <w:sz w:val="22"/>
          <w:szCs w:val="22"/>
        </w:rPr>
        <w:t xml:space="preserve">Si tu optes pour le </w:t>
      </w:r>
      <w:r>
        <w:rPr>
          <w:rFonts w:ascii="Times New Roman" w:cs="Times New Roman" w:eastAsia="Times New Roman" w:hAnsi="Times New Roman"/>
          <w:b/>
          <w:bCs/>
          <w:color w:val="1F2937"/>
          <w:sz w:val="22"/>
          <w:szCs w:val="22"/>
        </w:rPr>
        <w:t xml:space="preserve">barème progressif</w:t>
      </w:r>
      <w:r>
        <w:rPr>
          <w:rFonts w:ascii="Times New Roman" w:cs="Times New Roman" w:eastAsia="Times New Roman" w:hAnsi="Times New Roman"/>
          <w:color w:val="1F2937"/>
          <w:sz w:val="22"/>
          <w:szCs w:val="22"/>
        </w:rPr>
        <w:t xml:space="preserve">, tu bénéficies d'un </w:t>
      </w:r>
      <w:r>
        <w:rPr>
          <w:rFonts w:ascii="Times New Roman" w:cs="Times New Roman" w:eastAsia="Times New Roman" w:hAnsi="Times New Roman"/>
          <w:b/>
          <w:bCs/>
          <w:color w:val="1F2937"/>
          <w:sz w:val="22"/>
          <w:szCs w:val="22"/>
        </w:rPr>
        <w:t xml:space="preserve">abattement de 40 %</w:t>
      </w:r>
      <w:r>
        <w:rPr>
          <w:rFonts w:ascii="Times New Roman" w:cs="Times New Roman" w:eastAsia="Times New Roman" w:hAnsi="Times New Roman"/>
          <w:color w:val="1F2937"/>
          <w:sz w:val="22"/>
          <w:szCs w:val="22"/>
        </w:rPr>
        <w:t xml:space="preserve"> sur les dividendes (seuls 60 % sont imposés à l'IR). Cette option est plus avantageuse uniquement pour les foyers non imposables ou dans la tranche marginale ≤ 11 %. En contrepartie, on renonce à la déductibilité de la CSG et à la déduction des frais d'acquisition.</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C. SCPI — Pierre-papier</w:t>
      </w:r>
    </w:p>
    <w:p>
      <w:pPr>
        <w:spacing w:after="120"/>
      </w:pPr>
      <w:r>
        <w:rPr>
          <w:rFonts w:ascii="Times New Roman" w:cs="Times New Roman" w:eastAsia="Times New Roman" w:hAnsi="Times New Roman"/>
          <w:color w:val="1F2937"/>
          <w:sz w:val="22"/>
          <w:szCs w:val="22"/>
        </w:rPr>
        <w:t xml:space="preserve">Une </w:t>
      </w:r>
      <w:r>
        <w:rPr>
          <w:rFonts w:ascii="Times New Roman" w:cs="Times New Roman" w:eastAsia="Times New Roman" w:hAnsi="Times New Roman"/>
          <w:b/>
          <w:bCs/>
          <w:color w:val="1F2937"/>
          <w:sz w:val="22"/>
          <w:szCs w:val="22"/>
        </w:rPr>
        <w:t xml:space="preserve">SCPI (Société Civile de Placement Immobilier)</w:t>
      </w:r>
      <w:r>
        <w:rPr>
          <w:rFonts w:ascii="Times New Roman" w:cs="Times New Roman" w:eastAsia="Times New Roman" w:hAnsi="Times New Roman"/>
          <w:color w:val="1F2937"/>
          <w:sz w:val="22"/>
          <w:szCs w:val="22"/>
        </w:rPr>
        <w:t xml:space="preserve"> permet d'investir collectivement dans l'immobilier (bureaux, commerces, logements, santé…) sans acheter directement un bien. La société de gestion acquiert et loue un parc immobilier ; les associés perçoivent des dividendes proportionnels à leur détention.</w:t>
      </w:r>
    </w:p>
    <w:p>
      <w:pPr>
        <w:spacing w:after="80"/>
      </w:pPr>
      <w:r>
        <w:t xml:space="preserve"/>
      </w:r>
    </w:p>
    <w:p>
      <w:pPr>
        <w:spacing w:after="120"/>
      </w:pPr>
      <w:r>
        <w:rPr>
          <w:rFonts w:ascii="Times New Roman" w:cs="Times New Roman" w:eastAsia="Times New Roman" w:hAnsi="Times New Roman"/>
          <w:color w:val="1F2937"/>
          <w:sz w:val="22"/>
          <w:szCs w:val="22"/>
        </w:rPr>
        <w:t xml:space="preserve">Chiffres de marché 2024 (source : ASPIM, indicateurs de performance publiés au T1 2025 — données lues sur le site aspim.fr le 30/08/2026)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Indicateur</w:t>
            </w:r>
          </w:p>
        </w:tc>
        <w:tc>
          <w:tcPr>
            <w:shd w:fill="1B3A6B" w:val="clear"/>
          </w:tcPr>
          <w:p>
            <w:pPr>
              <w:jc w:val="center"/>
            </w:pPr>
            <w:r>
              <w:rPr>
                <w:rFonts w:ascii="Times New Roman" w:cs="Times New Roman" w:eastAsia="Times New Roman" w:hAnsi="Times New Roman"/>
                <w:b/>
                <w:bCs/>
                <w:color w:val="FFFFFF"/>
                <w:sz w:val="20"/>
                <w:szCs w:val="20"/>
              </w:rPr>
              <w:t xml:space="preserve">Valeur 2024</w:t>
            </w:r>
          </w:p>
        </w:tc>
        <w:tc>
          <w:tcPr>
            <w:shd w:fill="1B3A6B" w:val="clear"/>
          </w:tcPr>
          <w:p>
            <w:pPr>
              <w:jc w:val="center"/>
            </w:pPr>
            <w:r>
              <w:rPr>
                <w:rFonts w:ascii="Times New Roman" w:cs="Times New Roman" w:eastAsia="Times New Roman" w:hAnsi="Times New Roman"/>
                <w:b/>
                <w:bCs/>
                <w:color w:val="FFFFFF"/>
                <w:sz w:val="20"/>
                <w:szCs w:val="20"/>
              </w:rPr>
              <w:t xml:space="preserve">Commentaire</w:t>
            </w:r>
          </w:p>
        </w:tc>
      </w:tr>
      <w:tr>
        <w:tc>
          <w:tcPr>
            <w:shd w:fill="FFFFFF" w:val="clear"/>
          </w:tcPr>
          <w:p>
            <w:r>
              <w:rPr>
                <w:rFonts w:ascii="Times New Roman" w:cs="Times New Roman" w:eastAsia="Times New Roman" w:hAnsi="Times New Roman"/>
                <w:color w:val="1F2937"/>
                <w:sz w:val="20"/>
                <w:szCs w:val="20"/>
              </w:rPr>
              <w:t xml:space="preserve">Taux de distribution moyen</w:t>
            </w:r>
          </w:p>
        </w:tc>
        <w:tc>
          <w:tcPr>
            <w:shd w:fill="FFFFFF" w:val="clear"/>
          </w:tcPr>
          <w:p>
            <w:r>
              <w:rPr>
                <w:rFonts w:ascii="Times New Roman" w:cs="Times New Roman" w:eastAsia="Times New Roman" w:hAnsi="Times New Roman"/>
                <w:color w:val="1F2937"/>
                <w:sz w:val="20"/>
                <w:szCs w:val="20"/>
              </w:rPr>
              <w:t xml:space="preserve">4,72 %</w:t>
            </w:r>
          </w:p>
        </w:tc>
        <w:tc>
          <w:tcPr>
            <w:shd w:fill="FFFFFF" w:val="clear"/>
          </w:tcPr>
          <w:p>
            <w:r>
              <w:rPr>
                <w:rFonts w:ascii="Times New Roman" w:cs="Times New Roman" w:eastAsia="Times New Roman" w:hAnsi="Times New Roman"/>
                <w:color w:val="1F2937"/>
                <w:sz w:val="20"/>
                <w:szCs w:val="20"/>
              </w:rPr>
              <w:t xml:space="preserve">Flux versés aux associés / prix de référence au 01/01/2024</w:t>
            </w:r>
          </w:p>
        </w:tc>
      </w:tr>
      <w:tr>
        <w:tc>
          <w:tcPr>
            <w:shd w:fill="EEF2F7" w:val="clear"/>
          </w:tcPr>
          <w:p>
            <w:r>
              <w:rPr>
                <w:rFonts w:ascii="Times New Roman" w:cs="Times New Roman" w:eastAsia="Times New Roman" w:hAnsi="Times New Roman"/>
                <w:color w:val="1F2937"/>
                <w:sz w:val="20"/>
                <w:szCs w:val="20"/>
              </w:rPr>
              <w:t xml:space="preserve">Performance globale (marché)</w:t>
            </w:r>
          </w:p>
        </w:tc>
        <w:tc>
          <w:tcPr>
            <w:shd w:fill="EEF2F7" w:val="clear"/>
          </w:tcPr>
          <w:p>
            <w:r>
              <w:rPr>
                <w:rFonts w:ascii="Times New Roman" w:cs="Times New Roman" w:eastAsia="Times New Roman" w:hAnsi="Times New Roman"/>
                <w:color w:val="1F2937"/>
                <w:sz w:val="20"/>
                <w:szCs w:val="20"/>
              </w:rPr>
              <w:t xml:space="preserve">− 1,1 %</w:t>
            </w:r>
          </w:p>
        </w:tc>
        <w:tc>
          <w:tcPr>
            <w:shd w:fill="EEF2F7" w:val="clear"/>
          </w:tcPr>
          <w:p>
            <w:r>
              <w:rPr>
                <w:rFonts w:ascii="Times New Roman" w:cs="Times New Roman" w:eastAsia="Times New Roman" w:hAnsi="Times New Roman"/>
                <w:color w:val="1F2937"/>
                <w:sz w:val="20"/>
                <w:szCs w:val="20"/>
              </w:rPr>
              <w:t xml:space="preserve">Taux de distribution + variation de valeur des parts</w:t>
            </w:r>
          </w:p>
        </w:tc>
      </w:tr>
      <w:tr>
        <w:tc>
          <w:tcPr>
            <w:shd w:fill="FFFFFF" w:val="clear"/>
          </w:tcPr>
          <w:p>
            <w:r>
              <w:rPr>
                <w:rFonts w:ascii="Times New Roman" w:cs="Times New Roman" w:eastAsia="Times New Roman" w:hAnsi="Times New Roman"/>
                <w:color w:val="1F2937"/>
                <w:sz w:val="20"/>
                <w:szCs w:val="20"/>
              </w:rPr>
              <w:t xml:space="preserve">SCPI bureaux (catégorie)</w:t>
            </w:r>
          </w:p>
        </w:tc>
        <w:tc>
          <w:tcPr>
            <w:shd w:fill="FFFFFF" w:val="clear"/>
          </w:tcPr>
          <w:p>
            <w:r>
              <w:rPr>
                <w:rFonts w:ascii="Times New Roman" w:cs="Times New Roman" w:eastAsia="Times New Roman" w:hAnsi="Times New Roman"/>
                <w:color w:val="1F2937"/>
                <w:sz w:val="20"/>
                <w:szCs w:val="20"/>
              </w:rPr>
              <w:t xml:space="preserve">− 5,1 %</w:t>
            </w:r>
          </w:p>
        </w:tc>
        <w:tc>
          <w:tcPr>
            <w:shd w:fill="FFFFFF" w:val="clear"/>
          </w:tcPr>
          <w:p>
            <w:r>
              <w:rPr>
                <w:rFonts w:ascii="Times New Roman" w:cs="Times New Roman" w:eastAsia="Times New Roman" w:hAnsi="Times New Roman"/>
                <w:color w:val="1F2937"/>
                <w:sz w:val="20"/>
                <w:szCs w:val="20"/>
              </w:rPr>
              <w:t xml:space="preserve">Forte baisse de valeur des actifs bureau</w:t>
            </w:r>
          </w:p>
        </w:tc>
      </w:tr>
      <w:tr>
        <w:tc>
          <w:tcPr>
            <w:shd w:fill="EEF2F7" w:val="clear"/>
          </w:tcPr>
          <w:p>
            <w:r>
              <w:rPr>
                <w:rFonts w:ascii="Times New Roman" w:cs="Times New Roman" w:eastAsia="Times New Roman" w:hAnsi="Times New Roman"/>
                <w:color w:val="1F2937"/>
                <w:sz w:val="20"/>
                <w:szCs w:val="20"/>
              </w:rPr>
              <w:t xml:space="preserve">SCPI diversifiées (catégorie)</w:t>
            </w:r>
          </w:p>
        </w:tc>
        <w:tc>
          <w:tcPr>
            <w:shd w:fill="EEF2F7" w:val="clear"/>
          </w:tcPr>
          <w:p>
            <w:r>
              <w:rPr>
                <w:rFonts w:ascii="Times New Roman" w:cs="Times New Roman" w:eastAsia="Times New Roman" w:hAnsi="Times New Roman"/>
                <w:color w:val="1F2937"/>
                <w:sz w:val="20"/>
                <w:szCs w:val="20"/>
              </w:rPr>
              <w:t xml:space="preserve">+ 5,9 %</w:t>
            </w:r>
          </w:p>
        </w:tc>
        <w:tc>
          <w:tcPr>
            <w:shd w:fill="EEF2F7" w:val="clear"/>
          </w:tcPr>
          <w:p>
            <w:r>
              <w:rPr>
                <w:rFonts w:ascii="Times New Roman" w:cs="Times New Roman" w:eastAsia="Times New Roman" w:hAnsi="Times New Roman"/>
                <w:color w:val="1F2937"/>
                <w:sz w:val="20"/>
                <w:szCs w:val="20"/>
              </w:rPr>
              <w:t xml:space="preserve">Meilleure catégorie sur l'exercice</w:t>
            </w:r>
          </w:p>
        </w:tc>
      </w:tr>
      <w:tr>
        <w:tc>
          <w:tcPr>
            <w:shd w:fill="FFFFFF" w:val="clear"/>
          </w:tcPr>
          <w:p>
            <w:r>
              <w:rPr>
                <w:rFonts w:ascii="Times New Roman" w:cs="Times New Roman" w:eastAsia="Times New Roman" w:hAnsi="Times New Roman"/>
                <w:color w:val="1F2937"/>
                <w:sz w:val="20"/>
                <w:szCs w:val="20"/>
              </w:rPr>
              <w:t xml:space="preserve">Valeur de réalisation</w:t>
            </w:r>
          </w:p>
        </w:tc>
        <w:tc>
          <w:tcPr>
            <w:shd w:fill="FFFFFF" w:val="clear"/>
          </w:tcPr>
          <w:p>
            <w:r>
              <w:rPr>
                <w:rFonts w:ascii="Times New Roman" w:cs="Times New Roman" w:eastAsia="Times New Roman" w:hAnsi="Times New Roman"/>
                <w:color w:val="1F2937"/>
                <w:sz w:val="20"/>
                <w:szCs w:val="20"/>
              </w:rPr>
              <w:t xml:space="preserve">− 5,8 %</w:t>
            </w:r>
          </w:p>
        </w:tc>
        <w:tc>
          <w:tcPr>
            <w:shd w:fill="FFFFFF" w:val="clear"/>
          </w:tcPr>
          <w:p>
            <w:r>
              <w:rPr>
                <w:rFonts w:ascii="Times New Roman" w:cs="Times New Roman" w:eastAsia="Times New Roman" w:hAnsi="Times New Roman"/>
                <w:color w:val="1F2937"/>
                <w:sz w:val="20"/>
                <w:szCs w:val="20"/>
              </w:rPr>
              <w:t xml:space="preserve">Baisse moyenne pondérée du prix de part</w:t>
            </w:r>
          </w:p>
        </w:tc>
      </w:tr>
      <w:tr>
        <w:tc>
          <w:tcPr>
            <w:shd w:fill="EEF2F7" w:val="clear"/>
          </w:tcPr>
          <w:p>
            <w:r>
              <w:rPr>
                <w:rFonts w:ascii="Times New Roman" w:cs="Times New Roman" w:eastAsia="Times New Roman" w:hAnsi="Times New Roman"/>
                <w:color w:val="1F2937"/>
                <w:sz w:val="20"/>
                <w:szCs w:val="20"/>
              </w:rPr>
              <w:t xml:space="preserve">Taux d'occupation financier</w:t>
            </w:r>
          </w:p>
        </w:tc>
        <w:tc>
          <w:tcPr>
            <w:shd w:fill="EEF2F7" w:val="clear"/>
          </w:tcPr>
          <w:p>
            <w:r>
              <w:rPr>
                <w:rFonts w:ascii="Times New Roman" w:cs="Times New Roman" w:eastAsia="Times New Roman" w:hAnsi="Times New Roman"/>
                <w:color w:val="1F2937"/>
                <w:sz w:val="20"/>
                <w:szCs w:val="20"/>
              </w:rPr>
              <w:t xml:space="preserve">92,2 %</w:t>
            </w:r>
          </w:p>
        </w:tc>
        <w:tc>
          <w:tcPr>
            <w:shd w:fill="EEF2F7" w:val="clear"/>
          </w:tcPr>
          <w:p>
            <w:r>
              <w:rPr>
                <w:rFonts w:ascii="Times New Roman" w:cs="Times New Roman" w:eastAsia="Times New Roman" w:hAnsi="Times New Roman"/>
                <w:color w:val="1F2937"/>
                <w:sz w:val="20"/>
                <w:szCs w:val="20"/>
              </w:rPr>
              <w:t xml:space="preserve">Part du parc génératrice de loyers</w:t>
            </w:r>
          </w:p>
        </w:tc>
      </w:tr>
      <w:tr>
        <w:tc>
          <w:tcPr>
            <w:shd w:fill="FFFFFF" w:val="clear"/>
          </w:tcPr>
          <w:p>
            <w:r>
              <w:rPr>
                <w:rFonts w:ascii="Times New Roman" w:cs="Times New Roman" w:eastAsia="Times New Roman" w:hAnsi="Times New Roman"/>
                <w:color w:val="1F2937"/>
                <w:sz w:val="20"/>
                <w:szCs w:val="20"/>
              </w:rPr>
              <w:t xml:space="preserve">Collecte nette T1 2025 (SCPI)</w:t>
            </w:r>
          </w:p>
        </w:tc>
        <w:tc>
          <w:tcPr>
            <w:shd w:fill="FFFFFF" w:val="clear"/>
          </w:tcPr>
          <w:p>
            <w:r>
              <w:rPr>
                <w:rFonts w:ascii="Times New Roman" w:cs="Times New Roman" w:eastAsia="Times New Roman" w:hAnsi="Times New Roman"/>
                <w:color w:val="1F2937"/>
                <w:sz w:val="20"/>
                <w:szCs w:val="20"/>
              </w:rPr>
              <w:t xml:space="preserve">1 Md€ (+35 % vs T1 2024)</w:t>
            </w:r>
          </w:p>
        </w:tc>
        <w:tc>
          <w:tcPr>
            <w:shd w:fill="FFFFFF" w:val="clear"/>
          </w:tcPr>
          <w:p>
            <w:r>
              <w:rPr>
                <w:rFonts w:ascii="Times New Roman" w:cs="Times New Roman" w:eastAsia="Times New Roman" w:hAnsi="Times New Roman"/>
                <w:color w:val="1F2937"/>
                <w:sz w:val="20"/>
                <w:szCs w:val="20"/>
              </w:rPr>
              <w:t xml:space="preserve">Signal de rebond de la demande</w:t>
            </w:r>
          </w:p>
        </w:tc>
      </w:tr>
    </w:tbl>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D. Immobilier locatif direct (location nue)</w:t>
      </w:r>
    </w:p>
    <w:p>
      <w:pPr>
        <w:spacing w:after="120"/>
      </w:pPr>
      <w:r>
        <w:rPr>
          <w:rFonts w:ascii="Times New Roman" w:cs="Times New Roman" w:eastAsia="Times New Roman" w:hAnsi="Times New Roman"/>
          <w:color w:val="1F2937"/>
          <w:sz w:val="22"/>
          <w:szCs w:val="22"/>
        </w:rPr>
        <w:t xml:space="preserve">Deux régimes fiscaux — données impots.gouv.fr consultées le 30/08/2026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Critère</w:t>
            </w:r>
          </w:p>
        </w:tc>
        <w:tc>
          <w:tcPr>
            <w:shd w:fill="1B3A6B" w:val="clear"/>
          </w:tcPr>
          <w:p>
            <w:pPr>
              <w:jc w:val="center"/>
            </w:pPr>
            <w:r>
              <w:rPr>
                <w:rFonts w:ascii="Times New Roman" w:cs="Times New Roman" w:eastAsia="Times New Roman" w:hAnsi="Times New Roman"/>
                <w:b/>
                <w:bCs/>
                <w:color w:val="FFFFFF"/>
                <w:sz w:val="20"/>
                <w:szCs w:val="20"/>
              </w:rPr>
              <w:t xml:space="preserve">Micro-foncier</w:t>
            </w:r>
          </w:p>
        </w:tc>
        <w:tc>
          <w:tcPr>
            <w:shd w:fill="1B3A6B" w:val="clear"/>
          </w:tcPr>
          <w:p>
            <w:pPr>
              <w:jc w:val="center"/>
            </w:pPr>
            <w:r>
              <w:rPr>
                <w:rFonts w:ascii="Times New Roman" w:cs="Times New Roman" w:eastAsia="Times New Roman" w:hAnsi="Times New Roman"/>
                <w:b/>
                <w:bCs/>
                <w:color w:val="FFFFFF"/>
                <w:sz w:val="20"/>
                <w:szCs w:val="20"/>
              </w:rPr>
              <w:t xml:space="preserve">Régime réel</w:t>
            </w:r>
          </w:p>
        </w:tc>
      </w:tr>
      <w:tr>
        <w:tc>
          <w:tcPr>
            <w:shd w:fill="FFFFFF" w:val="clear"/>
          </w:tcPr>
          <w:p>
            <w:r>
              <w:rPr>
                <w:rFonts w:ascii="Times New Roman" w:cs="Times New Roman" w:eastAsia="Times New Roman" w:hAnsi="Times New Roman"/>
                <w:color w:val="1F2937"/>
                <w:sz w:val="20"/>
                <w:szCs w:val="20"/>
              </w:rPr>
              <w:t xml:space="preserve">Seuil d'accès</w:t>
            </w:r>
          </w:p>
        </w:tc>
        <w:tc>
          <w:tcPr>
            <w:shd w:fill="FFFFFF" w:val="clear"/>
          </w:tcPr>
          <w:p>
            <w:r>
              <w:rPr>
                <w:rFonts w:ascii="Times New Roman" w:cs="Times New Roman" w:eastAsia="Times New Roman" w:hAnsi="Times New Roman"/>
                <w:color w:val="1F2937"/>
                <w:sz w:val="20"/>
                <w:szCs w:val="20"/>
              </w:rPr>
              <w:t xml:space="preserve">Revenus bruts ≤ 15 000 €/an</w:t>
            </w:r>
          </w:p>
        </w:tc>
        <w:tc>
          <w:tcPr>
            <w:shd w:fill="FFFFFF" w:val="clear"/>
          </w:tcPr>
          <w:p>
            <w:r>
              <w:rPr>
                <w:rFonts w:ascii="Times New Roman" w:cs="Times New Roman" w:eastAsia="Times New Roman" w:hAnsi="Times New Roman"/>
                <w:color w:val="1F2937"/>
                <w:sz w:val="20"/>
                <w:szCs w:val="20"/>
              </w:rPr>
              <w:t xml:space="preserve">Revenus bruts &gt; 15 000 € OU option volontaire</w:t>
            </w:r>
          </w:p>
        </w:tc>
      </w:tr>
      <w:tr>
        <w:tc>
          <w:tcPr>
            <w:shd w:fill="EEF2F7" w:val="clear"/>
          </w:tcPr>
          <w:p>
            <w:r>
              <w:rPr>
                <w:rFonts w:ascii="Times New Roman" w:cs="Times New Roman" w:eastAsia="Times New Roman" w:hAnsi="Times New Roman"/>
                <w:color w:val="1F2937"/>
                <w:sz w:val="20"/>
                <w:szCs w:val="20"/>
              </w:rPr>
              <w:t xml:space="preserve">Abattement / déduction</w:t>
            </w:r>
          </w:p>
        </w:tc>
        <w:tc>
          <w:tcPr>
            <w:shd w:fill="EEF2F7" w:val="clear"/>
          </w:tcPr>
          <w:p>
            <w:r>
              <w:rPr>
                <w:rFonts w:ascii="Times New Roman" w:cs="Times New Roman" w:eastAsia="Times New Roman" w:hAnsi="Times New Roman"/>
                <w:color w:val="1F2937"/>
                <w:sz w:val="20"/>
                <w:szCs w:val="20"/>
              </w:rPr>
              <w:t xml:space="preserve">30 % forfaitaire → 70 % imposable</w:t>
            </w:r>
          </w:p>
        </w:tc>
        <w:tc>
          <w:tcPr>
            <w:shd w:fill="EEF2F7" w:val="clear"/>
          </w:tcPr>
          <w:p>
            <w:r>
              <w:rPr>
                <w:rFonts w:ascii="Times New Roman" w:cs="Times New Roman" w:eastAsia="Times New Roman" w:hAnsi="Times New Roman"/>
                <w:color w:val="1F2937"/>
                <w:sz w:val="20"/>
                <w:szCs w:val="20"/>
              </w:rPr>
              <w:t xml:space="preserve">Charges réelles déductibles (travaux, intérêts, gestion…)</w:t>
            </w:r>
          </w:p>
        </w:tc>
      </w:tr>
      <w:tr>
        <w:tc>
          <w:tcPr>
            <w:shd w:fill="FFFFFF" w:val="clear"/>
          </w:tcPr>
          <w:p>
            <w:r>
              <w:rPr>
                <w:rFonts w:ascii="Times New Roman" w:cs="Times New Roman" w:eastAsia="Times New Roman" w:hAnsi="Times New Roman"/>
                <w:color w:val="1F2937"/>
                <w:sz w:val="20"/>
                <w:szCs w:val="20"/>
              </w:rPr>
              <w:t xml:space="preserve">Déclaration</w:t>
            </w:r>
          </w:p>
        </w:tc>
        <w:tc>
          <w:tcPr>
            <w:shd w:fill="FFFFFF" w:val="clear"/>
          </w:tcPr>
          <w:p>
            <w:r>
              <w:rPr>
                <w:rFonts w:ascii="Times New Roman" w:cs="Times New Roman" w:eastAsia="Times New Roman" w:hAnsi="Times New Roman"/>
                <w:color w:val="1F2937"/>
                <w:sz w:val="20"/>
                <w:szCs w:val="20"/>
              </w:rPr>
              <w:t xml:space="preserve">Formulaire 2042, case 4BE</w:t>
            </w:r>
          </w:p>
        </w:tc>
        <w:tc>
          <w:tcPr>
            <w:shd w:fill="FFFFFF" w:val="clear"/>
          </w:tcPr>
          <w:p>
            <w:r>
              <w:rPr>
                <w:rFonts w:ascii="Times New Roman" w:cs="Times New Roman" w:eastAsia="Times New Roman" w:hAnsi="Times New Roman"/>
                <w:color w:val="1F2937"/>
                <w:sz w:val="20"/>
                <w:szCs w:val="20"/>
              </w:rPr>
              <w:t xml:space="preserve">Formulaire 2044 ou 2044 spéciale</w:t>
            </w:r>
          </w:p>
        </w:tc>
      </w:tr>
      <w:tr>
        <w:tc>
          <w:tcPr>
            <w:shd w:fill="EEF2F7" w:val="clear"/>
          </w:tcPr>
          <w:p>
            <w:r>
              <w:rPr>
                <w:rFonts w:ascii="Times New Roman" w:cs="Times New Roman" w:eastAsia="Times New Roman" w:hAnsi="Times New Roman"/>
                <w:color w:val="1F2937"/>
                <w:sz w:val="20"/>
                <w:szCs w:val="20"/>
              </w:rPr>
              <w:t xml:space="preserve">Déficit imputable / revenu global</w:t>
            </w:r>
          </w:p>
        </w:tc>
        <w:tc>
          <w:tcPr>
            <w:shd w:fill="EEF2F7" w:val="clear"/>
          </w:tcPr>
          <w:p>
            <w:r>
              <w:rPr>
                <w:rFonts w:ascii="Times New Roman" w:cs="Times New Roman" w:eastAsia="Times New Roman" w:hAnsi="Times New Roman"/>
                <w:color w:val="1F2937"/>
                <w:sz w:val="20"/>
                <w:szCs w:val="20"/>
              </w:rPr>
              <w:t xml:space="preserve">Non applicable</w:t>
            </w:r>
          </w:p>
        </w:tc>
        <w:tc>
          <w:tcPr>
            <w:shd w:fill="EEF2F7" w:val="clear"/>
          </w:tcPr>
          <w:p>
            <w:r>
              <w:rPr>
                <w:rFonts w:ascii="Times New Roman" w:cs="Times New Roman" w:eastAsia="Times New Roman" w:hAnsi="Times New Roman"/>
                <w:color w:val="1F2937"/>
                <w:sz w:val="20"/>
                <w:szCs w:val="20"/>
              </w:rPr>
              <w:t xml:space="preserve">10 700 €/an (jusqu'à 21 400 € rénovation énergie jusqu'au 31/12/2027)</w:t>
            </w:r>
          </w:p>
        </w:tc>
      </w:tr>
      <w:tr>
        <w:tc>
          <w:tcPr>
            <w:shd w:fill="FFFFFF" w:val="clear"/>
          </w:tcPr>
          <w:p>
            <w:r>
              <w:rPr>
                <w:rFonts w:ascii="Times New Roman" w:cs="Times New Roman" w:eastAsia="Times New Roman" w:hAnsi="Times New Roman"/>
                <w:color w:val="1F2937"/>
                <w:sz w:val="20"/>
                <w:szCs w:val="20"/>
              </w:rPr>
              <w:t xml:space="preserve">Prélèvements sociaux (location nue)</w:t>
            </w:r>
          </w:p>
        </w:tc>
        <w:tc>
          <w:tcPr>
            <w:shd w:fill="FFFFFF" w:val="clear"/>
          </w:tcPr>
          <w:p>
            <w:r>
              <w:rPr>
                <w:rFonts w:ascii="Times New Roman" w:cs="Times New Roman" w:eastAsia="Times New Roman" w:hAnsi="Times New Roman"/>
                <w:color w:val="1F2937"/>
                <w:sz w:val="20"/>
                <w:szCs w:val="20"/>
              </w:rPr>
              <w:t xml:space="preserve">17,2 % (CSG 9,2 % + CRDS 0,5 % + solidarité 7,5 %)</w:t>
            </w:r>
          </w:p>
        </w:tc>
        <w:tc>
          <w:tcPr>
            <w:shd w:fill="FFFFFF" w:val="clear"/>
          </w:tcPr>
          <w:p>
            <w:r>
              <w:rPr>
                <w:rFonts w:ascii="Times New Roman" w:cs="Times New Roman" w:eastAsia="Times New Roman" w:hAnsi="Times New Roman"/>
                <w:color w:val="1F2937"/>
                <w:sz w:val="20"/>
                <w:szCs w:val="20"/>
              </w:rPr>
              <w:t xml:space="preserve">17,2 % (même taux, source impots.gouv.fr)</w:t>
            </w:r>
          </w:p>
        </w:tc>
      </w:tr>
    </w:tbl>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Ancrage réaliste — Ce que les chiffres ne disent pas</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 SCPI : le taux de distribution 2024 (4,72 %) ne mesure que les flux versés — pas la variation de valeur des parts. La performance GLOBALE 2024 ressort à − 1,1 % une fois la baisse de valeur intégrée (source : ASPIM). Sur la catégorie bureaux, la performance globale atteint − 5,1 %. Un épargnant ayant souscrit des parts de SCPI bureaux en 2022-2023 a perçu des loyers tout en subissant une baisse de plusieurs points sur son capital.</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SCPI : risques réels à connaître</w:t>
      </w:r>
    </w:p>
    <w:p>
      <w:pPr>
        <w:pStyle w:val="ListParagraph"/>
        <w:numPr>
          <w:ilvl w:val="0"/>
          <w:numId w:val="1"/>
        </w:numPr>
        <w:spacing w:after="80"/>
      </w:pPr>
      <w:r>
        <w:rPr>
          <w:rFonts w:ascii="Times New Roman" w:cs="Times New Roman" w:eastAsia="Times New Roman" w:hAnsi="Times New Roman"/>
          <w:color w:val="1F2937"/>
          <w:sz w:val="22"/>
          <w:szCs w:val="22"/>
        </w:rPr>
        <w:t xml:space="preserve">Liquidité faible : les parts SCPI ne sont pas cotées en continu. Revendre peut prendre plusieurs mois — voire plus longtemps en période de crise immobilière.</w:t>
      </w:r>
    </w:p>
    <w:p>
      <w:pPr>
        <w:pStyle w:val="ListParagraph"/>
        <w:numPr>
          <w:ilvl w:val="0"/>
          <w:numId w:val="1"/>
        </w:numPr>
        <w:spacing w:after="80"/>
      </w:pPr>
      <w:r>
        <w:rPr>
          <w:rFonts w:ascii="Times New Roman" w:cs="Times New Roman" w:eastAsia="Times New Roman" w:hAnsi="Times New Roman"/>
          <w:color w:val="1F2937"/>
          <w:sz w:val="22"/>
          <w:szCs w:val="22"/>
        </w:rPr>
        <w:t xml:space="preserve">Capital non garanti : la valeur de réalisation 2024 a baissé de 5,8 % en moyenne (source ASPIM confirmée).</w:t>
      </w:r>
    </w:p>
    <w:p>
      <w:pPr>
        <w:pStyle w:val="ListParagraph"/>
        <w:numPr>
          <w:ilvl w:val="0"/>
          <w:numId w:val="1"/>
        </w:numPr>
        <w:spacing w:after="80"/>
      </w:pPr>
      <w:r>
        <w:rPr>
          <w:rFonts w:ascii="Times New Roman" w:cs="Times New Roman" w:eastAsia="Times New Roman" w:hAnsi="Times New Roman"/>
          <w:color w:val="1F2937"/>
          <w:sz w:val="22"/>
          <w:szCs w:val="22"/>
        </w:rPr>
        <w:t xml:space="preserve">Frais d'entrée élevés : souvent 8 à 12 % du montant investi (frais de souscription). Ces frais ne sont amortis qu'après plusieurs années de détention.</w:t>
      </w:r>
    </w:p>
    <w:p>
      <w:pPr>
        <w:pStyle w:val="ListParagraph"/>
        <w:numPr>
          <w:ilvl w:val="0"/>
          <w:numId w:val="1"/>
        </w:numPr>
        <w:spacing w:after="80"/>
      </w:pPr>
      <w:r>
        <w:rPr>
          <w:rFonts w:ascii="Times New Roman" w:cs="Times New Roman" w:eastAsia="Times New Roman" w:hAnsi="Times New Roman"/>
          <w:color w:val="1F2937"/>
          <w:sz w:val="22"/>
          <w:szCs w:val="22"/>
        </w:rPr>
        <w:t xml:space="preserve">Fiscalité des revenus SCPI : imposés comme des revenus fonciers (barème progressif + prélèvements sociaux), contrairement à certaines enveloppes. Le PFU ne s'applique pas aux SCPI classiques.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Taux d'échec ou de faillite SCPI (longue période) </w:t>
      </w:r>
      <w:r>
        <w:rPr>
          <w:rFonts w:ascii="Times New Roman" w:cs="Times New Roman" w:eastAsia="Times New Roman" w:hAnsi="Times New Roman"/>
          <w:color w:val="1F2937"/>
          <w:sz w:val="22"/>
          <w:szCs w:val="22"/>
        </w:rPr>
        <w:t xml:space="preserve">: donnée non disponible dans les sources consultées ce jour. À rechercher sur le registre des prestataires autorisés (amf-france.org) avant toute souscription.</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ETF distribuants : le vrai calcul de revenu</w:t>
      </w:r>
    </w:p>
    <w:p>
      <w:pPr>
        <w:pStyle w:val="ListParagraph"/>
        <w:numPr>
          <w:ilvl w:val="0"/>
          <w:numId w:val="1"/>
        </w:numPr>
        <w:spacing w:after="80"/>
      </w:pPr>
      <w:r>
        <w:rPr>
          <w:rFonts w:ascii="Times New Roman" w:cs="Times New Roman" w:eastAsia="Times New Roman" w:hAnsi="Times New Roman"/>
          <w:color w:val="1F2937"/>
          <w:sz w:val="22"/>
          <w:szCs w:val="22"/>
        </w:rPr>
        <w:t xml:space="preserve">PFU de 31,4 % sur chaque dividende perçu (hors PEA) : 1 000 € bruts génèrent </w:t>
      </w:r>
      <w:r>
        <w:rPr>
          <w:rFonts w:ascii="Times New Roman" w:cs="Times New Roman" w:eastAsia="Times New Roman" w:hAnsi="Times New Roman"/>
          <w:b/>
          <w:bCs/>
          <w:color w:val="1F2937"/>
          <w:sz w:val="22"/>
          <w:szCs w:val="22"/>
        </w:rPr>
        <w:t xml:space="preserve">686 € nets</w:t>
      </w:r>
      <w:r>
        <w:rPr>
          <w:rFonts w:ascii="Times New Roman" w:cs="Times New Roman" w:eastAsia="Times New Roman" w:hAnsi="Times New Roman"/>
          <w:color w:val="1F2937"/>
          <w:sz w:val="22"/>
          <w:szCs w:val="22"/>
        </w:rPr>
        <w:t xml:space="preserve"> après imposition.</w:t>
      </w:r>
    </w:p>
    <w:p>
      <w:pPr>
        <w:pStyle w:val="ListParagraph"/>
        <w:numPr>
          <w:ilvl w:val="0"/>
          <w:numId w:val="1"/>
        </w:numPr>
        <w:spacing w:after="80"/>
      </w:pPr>
      <w:r>
        <w:rPr>
          <w:rFonts w:ascii="Times New Roman" w:cs="Times New Roman" w:eastAsia="Times New Roman" w:hAnsi="Times New Roman"/>
          <w:color w:val="1F2937"/>
          <w:sz w:val="22"/>
          <w:szCs w:val="22"/>
        </w:rPr>
        <w:t xml:space="preserve">Les ETF distribuants mondiaux affichent typiquement un rendement dividende de 1 à 2 % par an. Pour percevoir 500 €/mois de dividendes nets, le capital nécessaire est considérable — donnée non sourcée, à calculer sur la base du rendement réel de l'ETF et du taux d'imposition applicable à ta situation.</w:t>
      </w:r>
    </w:p>
    <w:p>
      <w:pPr>
        <w:pStyle w:val="ListParagraph"/>
        <w:numPr>
          <w:ilvl w:val="0"/>
          <w:numId w:val="1"/>
        </w:numPr>
        <w:spacing w:after="80"/>
      </w:pPr>
      <w:r>
        <w:rPr>
          <w:rFonts w:ascii="Times New Roman" w:cs="Times New Roman" w:eastAsia="Times New Roman" w:hAnsi="Times New Roman"/>
          <w:color w:val="1F2937"/>
          <w:sz w:val="22"/>
          <w:szCs w:val="22"/>
        </w:rPr>
        <w:t xml:space="preserve">Les dividendes ne sont pas garantis : les entreprises peuvent les réduire ou les suspendre.</w:t>
      </w:r>
    </w:p>
    <w:p>
      <w:pPr>
        <w:pStyle w:val="ListParagraph"/>
        <w:numPr>
          <w:ilvl w:val="0"/>
          <w:numId w:val="1"/>
        </w:numPr>
        <w:spacing w:after="80"/>
      </w:pPr>
      <w:r>
        <w:rPr>
          <w:rFonts w:ascii="Times New Roman" w:cs="Times New Roman" w:eastAsia="Times New Roman" w:hAnsi="Times New Roman"/>
          <w:color w:val="1F2937"/>
          <w:sz w:val="22"/>
          <w:szCs w:val="22"/>
        </w:rPr>
        <w:t xml:space="preserve">Fluctuation du capital : un ETF peut baisser en valeur tout en distribuant des dividendes. Percevoir 2 % de dividende pendant une baisse de 15 % du marché reste une perte nette de capital.</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Immobilier locatif direct : le travail caché</w:t>
      </w:r>
    </w:p>
    <w:p>
      <w:pPr>
        <w:pStyle w:val="ListParagraph"/>
        <w:numPr>
          <w:ilvl w:val="0"/>
          <w:numId w:val="1"/>
        </w:numPr>
        <w:spacing w:after="80"/>
      </w:pPr>
      <w:r>
        <w:rPr>
          <w:rFonts w:ascii="Times New Roman" w:cs="Times New Roman" w:eastAsia="Times New Roman" w:hAnsi="Times New Roman"/>
          <w:color w:val="1F2937"/>
          <w:sz w:val="22"/>
          <w:szCs w:val="22"/>
        </w:rPr>
        <w:t xml:space="preserve">Recherche de locataire, états des lieux, rédaction de bail, relances d'impayés, gestion des sinistres, déclaration fiscale annuelle (formulaire 2044 en régime réel).</w:t>
      </w:r>
    </w:p>
    <w:p>
      <w:pPr>
        <w:pStyle w:val="ListParagraph"/>
        <w:numPr>
          <w:ilvl w:val="0"/>
          <w:numId w:val="1"/>
        </w:numPr>
        <w:spacing w:after="80"/>
      </w:pPr>
      <w:r>
        <w:rPr>
          <w:rFonts w:ascii="Times New Roman" w:cs="Times New Roman" w:eastAsia="Times New Roman" w:hAnsi="Times New Roman"/>
          <w:color w:val="1F2937"/>
          <w:sz w:val="22"/>
          <w:szCs w:val="22"/>
        </w:rPr>
        <w:t xml:space="preserve">Vacance locative : tout mois vacant représente un manque à gagner direct (loyer absent, charges fixes maintenues).</w:t>
      </w:r>
    </w:p>
    <w:p>
      <w:pPr>
        <w:pStyle w:val="ListParagraph"/>
        <w:numPr>
          <w:ilvl w:val="0"/>
          <w:numId w:val="1"/>
        </w:numPr>
        <w:spacing w:after="80"/>
      </w:pPr>
      <w:r>
        <w:rPr>
          <w:rFonts w:ascii="Times New Roman" w:cs="Times New Roman" w:eastAsia="Times New Roman" w:hAnsi="Times New Roman"/>
          <w:color w:val="1F2937"/>
          <w:sz w:val="22"/>
          <w:szCs w:val="22"/>
        </w:rPr>
        <w:t xml:space="preserve">Charges incompressibles : taxe foncière, assurance propriétaire non occupant (PNO), charges de copropriété, frais de gestion locative (7-10 % du loyer si externalisé), entretien courant et remise en état entre locataires.</w:t>
      </w:r>
    </w:p>
    <w:p>
      <w:pPr>
        <w:pStyle w:val="ListParagraph"/>
        <w:numPr>
          <w:ilvl w:val="0"/>
          <w:numId w:val="1"/>
        </w:numPr>
        <w:spacing w:after="80"/>
      </w:pPr>
      <w:r>
        <w:rPr>
          <w:rFonts w:ascii="Times New Roman" w:cs="Times New Roman" w:eastAsia="Times New Roman" w:hAnsi="Times New Roman"/>
          <w:color w:val="1F2937"/>
          <w:sz w:val="22"/>
          <w:szCs w:val="22"/>
        </w:rPr>
        <w:t xml:space="preserve">La rentabilité brute (annonce immobilière) est toujours supérieure à la rentabilité nette. L'exercice 3 ci-dessous le quantifie.</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Signaux d'arnaque propres à ces modèles</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 AMF (amf-france.org, consulté le 30/08/2026) : l'AMF met en garde contre la multiplication des arnaques aux faux articles de presse vantant des « pseudo bons plans pour s'enrichir ». Elle rappelle : « L'AMF ne contacte pas de sa propre initiative les épargnants par téléphone ou messagerie privée ». Des listes noires d'acteurs non autorisés sont consultables sur AMF Protect Epargne.</w:t>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Signaux d'alerte à repérer : rendement garanti (illégal en France) · pression à investir vite sans délai de réflexion · absence de numéro ORIAS ou d'agrément AMF · frais opaques ou prélevés avant tout versement · offre non sollicitée par téléphone ou réseau social · formation payante prometteuse (« devenir rentier en 6 mois »).</w:t>
      </w:r>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Pratique (80 %) — Exercices</w:t>
      </w:r>
    </w:p>
    <w:p>
      <w:pPr>
        <w:pStyle w:val="Heading3"/>
        <w:spacing w:after="100" w:before="200"/>
      </w:pPr>
      <w:r>
        <w:rPr>
          <w:rFonts w:ascii="Times New Roman" w:cs="Times New Roman" w:eastAsia="Times New Roman" w:hAnsi="Times New Roman"/>
          <w:b/>
          <w:bCs/>
          <w:color w:val="1F2937"/>
          <w:sz w:val="26"/>
          <w:szCs w:val="26"/>
        </w:rPr>
        <w:t xml:space="preserve">Exercice 1 — Calcul de l'imposition réelle sur des dividendes ETF</w:t>
      </w:r>
    </w:p>
    <w:p>
      <w:pPr>
        <w:spacing w:after="120"/>
      </w:pPr>
      <w:r>
        <w:rPr>
          <w:rFonts w:ascii="Times New Roman" w:cs="Times New Roman" w:eastAsia="Times New Roman" w:hAnsi="Times New Roman"/>
          <w:color w:val="1F2937"/>
          <w:sz w:val="22"/>
          <w:szCs w:val="22"/>
        </w:rPr>
        <w:t xml:space="preserve">Situation : tu perçois 1 200 € bruts de dividendes en 2026 via un ETF distribuant détenu en compte-titres ordinaire (CTO).</w:t>
      </w:r>
    </w:p>
    <w:p>
      <w:pPr>
        <w:pStyle w:val="ListParagraph"/>
        <w:numPr>
          <w:ilvl w:val="0"/>
          <w:numId w:val="1"/>
        </w:numPr>
        <w:spacing w:after="80"/>
      </w:pPr>
      <w:r>
        <w:rPr>
          <w:rFonts w:ascii="Times New Roman" w:cs="Times New Roman" w:eastAsia="Times New Roman" w:hAnsi="Times New Roman"/>
          <w:color w:val="1F2937"/>
          <w:sz w:val="22"/>
          <w:szCs w:val="22"/>
        </w:rPr>
        <w:t xml:space="preserve">1a. Quel est le montant d'impôt dû avec le PFU (flat tax) ? Détaille IR et PS séparément.</w:t>
      </w:r>
    </w:p>
    <w:p>
      <w:pPr>
        <w:pStyle w:val="ListParagraph"/>
        <w:numPr>
          <w:ilvl w:val="0"/>
          <w:numId w:val="1"/>
        </w:numPr>
        <w:spacing w:after="80"/>
      </w:pPr>
      <w:r>
        <w:rPr>
          <w:rFonts w:ascii="Times New Roman" w:cs="Times New Roman" w:eastAsia="Times New Roman" w:hAnsi="Times New Roman"/>
          <w:color w:val="1F2937"/>
          <w:sz w:val="22"/>
          <w:szCs w:val="22"/>
        </w:rPr>
        <w:t xml:space="preserve">1b. Quel serait l'impôt si tu optais pour le barème progressif, en supposant que tu es dans la tranche à 11 % ?</w:t>
      </w:r>
    </w:p>
    <w:p>
      <w:pPr>
        <w:pStyle w:val="ListParagraph"/>
        <w:numPr>
          <w:ilvl w:val="0"/>
          <w:numId w:val="1"/>
        </w:numPr>
        <w:spacing w:after="80"/>
      </w:pPr>
      <w:r>
        <w:rPr>
          <w:rFonts w:ascii="Times New Roman" w:cs="Times New Roman" w:eastAsia="Times New Roman" w:hAnsi="Times New Roman"/>
          <w:color w:val="1F2937"/>
          <w:sz w:val="22"/>
          <w:szCs w:val="22"/>
        </w:rPr>
        <w:t xml:space="preserve">1c. Quelle option est plus avantageuse dans ce cas ? À partir de quelle tranche marginale le PFU devient-il préférable ?</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Corrigé — Exercice 1</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1a. PFU (31,4 % total) :</w:t>
      </w:r>
      <w:r>
        <w:rPr>
          <w:rFonts w:ascii="Times New Roman" w:cs="Times New Roman" w:eastAsia="Times New Roman" w:hAnsi="Times New Roman"/>
          <w:color w:val="1F2937"/>
          <w:sz w:val="22"/>
          <w:szCs w:val="22"/>
        </w:rPr>
        <w:t xml:space="preserve"> IR = 1 200 × 12,8 % = 153,60 €  |  PS = 1 200 × 18,6 % = 223,20 €  |  Total PFU = 376,80 €  |  Net perçu = 1 200 − 376,80 = </w:t>
      </w:r>
      <w:r>
        <w:rPr>
          <w:rFonts w:ascii="Times New Roman" w:cs="Times New Roman" w:eastAsia="Times New Roman" w:hAnsi="Times New Roman"/>
          <w:b/>
          <w:bCs/>
          <w:color w:val="1F2937"/>
          <w:sz w:val="22"/>
          <w:szCs w:val="22"/>
        </w:rPr>
        <w:t xml:space="preserve">823,20 €</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1b. Barème progressif (tranche 11 %) + abattement 40 % :</w:t>
      </w:r>
      <w:r>
        <w:rPr>
          <w:rFonts w:ascii="Times New Roman" w:cs="Times New Roman" w:eastAsia="Times New Roman" w:hAnsi="Times New Roman"/>
          <w:color w:val="1F2937"/>
          <w:sz w:val="22"/>
          <w:szCs w:val="22"/>
        </w:rPr>
        <w:t xml:space="preserve"> Base imposable IR = 1 200 × 60 % = 720 €  |  IR = 720 × 11 % = 79,20 €  |  PS = 1 200 × 18,6 % = 223,20 €  |  Total = 302,40 €  |  Net perçu = </w:t>
      </w:r>
      <w:r>
        <w:rPr>
          <w:rFonts w:ascii="Times New Roman" w:cs="Times New Roman" w:eastAsia="Times New Roman" w:hAnsi="Times New Roman"/>
          <w:b/>
          <w:bCs/>
          <w:color w:val="1F2937"/>
          <w:sz w:val="22"/>
          <w:szCs w:val="22"/>
        </w:rPr>
        <w:t xml:space="preserve">897,60 €</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1c. Conclusion :</w:t>
      </w:r>
      <w:r>
        <w:rPr>
          <w:rFonts w:ascii="Times New Roman" w:cs="Times New Roman" w:eastAsia="Times New Roman" w:hAnsi="Times New Roman"/>
          <w:color w:val="1F2937"/>
          <w:sz w:val="22"/>
          <w:szCs w:val="22"/>
        </w:rPr>
        <w:t xml:space="preserve"> Le barème progressif est plus avantageux pour les tranches ≤ 11 %. Le PFU (31,4 %) dépasse le barème (60 % × tranche + 18,6 %) dès la tranche à 30 % environ : 60 % × 30 % + 18,6 % = 36,6 % &gt; 31,4 %. Vérification obligatoire auprès de ton établissement pour les enveloppes à règles dérogatoires (PEA, assurance-vie).</w:t>
      </w:r>
      <w:r>
        <w:rPr>
          <w:rFonts w:ascii="Times New Roman" w:cs="Times New Roman" w:eastAsia="Times New Roman" w:hAnsi="Times New Roman"/>
          <w:color w:val="1F2937"/>
          <w:sz w:val="22"/>
          <w:szCs w:val="22"/>
        </w:rPr>
        <w:t xml:space="preserve"/>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Exercice 2 — Décrypter un tableau de bord SCPI</w:t>
      </w:r>
    </w:p>
    <w:p>
      <w:pPr>
        <w:spacing w:after="120"/>
      </w:pPr>
      <w:r>
        <w:rPr>
          <w:rFonts w:ascii="Times New Roman" w:cs="Times New Roman" w:eastAsia="Times New Roman" w:hAnsi="Times New Roman"/>
          <w:color w:val="1F2937"/>
          <w:sz w:val="22"/>
          <w:szCs w:val="22"/>
        </w:rPr>
        <w:t xml:space="preserve">Scénario : une plaquette commerciale affiche « Taux de distribution 2024 : 5,2 % ». Le document ne mentionne pas la variation de valeur des parts.</w:t>
      </w:r>
    </w:p>
    <w:p>
      <w:pPr>
        <w:pStyle w:val="ListParagraph"/>
        <w:numPr>
          <w:ilvl w:val="0"/>
          <w:numId w:val="1"/>
        </w:numPr>
        <w:spacing w:after="80"/>
      </w:pPr>
      <w:r>
        <w:rPr>
          <w:rFonts w:ascii="Times New Roman" w:cs="Times New Roman" w:eastAsia="Times New Roman" w:hAnsi="Times New Roman"/>
          <w:color w:val="1F2937"/>
          <w:sz w:val="22"/>
          <w:szCs w:val="22"/>
        </w:rPr>
        <w:t xml:space="preserve">2a. Que signifie exactement ce taux de distribution ?</w:t>
      </w:r>
    </w:p>
    <w:p>
      <w:pPr>
        <w:pStyle w:val="ListParagraph"/>
        <w:numPr>
          <w:ilvl w:val="0"/>
          <w:numId w:val="1"/>
        </w:numPr>
        <w:spacing w:after="80"/>
      </w:pPr>
      <w:r>
        <w:rPr>
          <w:rFonts w:ascii="Times New Roman" w:cs="Times New Roman" w:eastAsia="Times New Roman" w:hAnsi="Times New Roman"/>
          <w:color w:val="1F2937"/>
          <w:sz w:val="22"/>
          <w:szCs w:val="22"/>
        </w:rPr>
        <w:t xml:space="preserve">2b. Quelles informations sont manquantes pour connaître la performance réelle ?</w:t>
      </w:r>
    </w:p>
    <w:p>
      <w:pPr>
        <w:pStyle w:val="ListParagraph"/>
        <w:numPr>
          <w:ilvl w:val="0"/>
          <w:numId w:val="1"/>
        </w:numPr>
        <w:spacing w:after="80"/>
      </w:pPr>
      <w:r>
        <w:rPr>
          <w:rFonts w:ascii="Times New Roman" w:cs="Times New Roman" w:eastAsia="Times New Roman" w:hAnsi="Times New Roman"/>
          <w:color w:val="1F2937"/>
          <w:sz w:val="22"/>
          <w:szCs w:val="22"/>
        </w:rPr>
        <w:t xml:space="preserve">2c. Une SCPI bureaux affiche : taux de distribution 4,5 %, baisse de valeur de part 8 %. Calcule la performance globale.</w:t>
      </w:r>
    </w:p>
    <w:p>
      <w:pPr>
        <w:pStyle w:val="ListParagraph"/>
        <w:numPr>
          <w:ilvl w:val="0"/>
          <w:numId w:val="1"/>
        </w:numPr>
        <w:spacing w:after="80"/>
      </w:pPr>
      <w:r>
        <w:rPr>
          <w:rFonts w:ascii="Times New Roman" w:cs="Times New Roman" w:eastAsia="Times New Roman" w:hAnsi="Times New Roman"/>
          <w:color w:val="1F2937"/>
          <w:sz w:val="22"/>
          <w:szCs w:val="22"/>
        </w:rPr>
        <w:t xml:space="preserve">2d. Liste 3 questions à poser au distributeur avant de souscrire.</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Corrigé — Exercice 2</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2a. Taux de distribution</w:t>
      </w:r>
      <w:r>
        <w:rPr>
          <w:rFonts w:ascii="Times New Roman" w:cs="Times New Roman" w:eastAsia="Times New Roman" w:hAnsi="Times New Roman"/>
          <w:color w:val="1F2937"/>
          <w:sz w:val="22"/>
          <w:szCs w:val="22"/>
        </w:rPr>
        <w:t xml:space="preserve"> = dividendes versés aux associés ÷ prix de référence de la part au 1er janvier de l'année. Ce taux mesure le flux de revenu, pas le gain ou la perte sur le capital investi.</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2b. Informations manquantes :</w:t>
      </w:r>
      <w:r>
        <w:rPr>
          <w:rFonts w:ascii="Times New Roman" w:cs="Times New Roman" w:eastAsia="Times New Roman" w:hAnsi="Times New Roman"/>
          <w:color w:val="1F2937"/>
          <w:sz w:val="22"/>
          <w:szCs w:val="22"/>
        </w:rPr>
        <w:t xml:space="preserve"> variation du prix de la part (valeur de réalisation), frais de souscription et de gestion annuels, taux d'occupation financier, nature et diversification du parc, provisions éventuelles pour dépréciation.</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2c. Performance globale :</w:t>
      </w:r>
      <w:r>
        <w:rPr>
          <w:rFonts w:ascii="Times New Roman" w:cs="Times New Roman" w:eastAsia="Times New Roman" w:hAnsi="Times New Roman"/>
          <w:color w:val="1F2937"/>
          <w:sz w:val="22"/>
          <w:szCs w:val="22"/>
        </w:rPr>
        <w:t xml:space="preserve"> 4,5 % (distribution) + (−8 %) (baisse de valeur) = </w:t>
      </w:r>
      <w:r>
        <w:rPr>
          <w:rFonts w:ascii="Times New Roman" w:cs="Times New Roman" w:eastAsia="Times New Roman" w:hAnsi="Times New Roman"/>
          <w:b/>
          <w:bCs/>
          <w:color w:val="1F2937"/>
          <w:sz w:val="22"/>
          <w:szCs w:val="22"/>
        </w:rPr>
        <w:t xml:space="preserve">−3,5 %</w:t>
      </w:r>
      <w:r>
        <w:rPr>
          <w:rFonts w:ascii="Times New Roman" w:cs="Times New Roman" w:eastAsia="Times New Roman" w:hAnsi="Times New Roman"/>
          <w:color w:val="1F2937"/>
          <w:sz w:val="22"/>
          <w:szCs w:val="22"/>
        </w:rPr>
        <w:t xml:space="preserve">. Malgré les loyers perçus, l'associé est en perte nette sur l'exercice.</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2d. Questions clés :</w:t>
      </w:r>
      <w:r>
        <w:rPr>
          <w:rFonts w:ascii="Times New Roman" w:cs="Times New Roman" w:eastAsia="Times New Roman" w:hAnsi="Times New Roman"/>
          <w:color w:val="1F2937"/>
          <w:sz w:val="22"/>
          <w:szCs w:val="22"/>
        </w:rPr>
        <w:t xml:space="preserve"> (1) Quelle est la valeur de réalisation de la part et son évolution sur les 5 dernières années ? (2) Quels sont les frais de souscription et de gestion annuels en % d'actifs ? (3) La SCPI est-elle à capital fixe ou variable, et quels sont les délais et conditions de retrait ?</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Exercice 3 — Simulation de rentabilité locative nette</w:t>
      </w:r>
    </w:p>
    <w:p>
      <w:pPr>
        <w:spacing w:after="120"/>
      </w:pPr>
      <w:r>
        <w:rPr>
          <w:rFonts w:ascii="Times New Roman" w:cs="Times New Roman" w:eastAsia="Times New Roman" w:hAnsi="Times New Roman"/>
          <w:color w:val="1F2937"/>
          <w:sz w:val="22"/>
          <w:szCs w:val="22"/>
        </w:rPr>
        <w:t xml:space="preserve">Données du bien :</w:t>
      </w:r>
    </w:p>
    <w:p>
      <w:pPr>
        <w:pStyle w:val="ListParagraph"/>
        <w:numPr>
          <w:ilvl w:val="0"/>
          <w:numId w:val="1"/>
        </w:numPr>
        <w:spacing w:after="80"/>
      </w:pPr>
      <w:r>
        <w:rPr>
          <w:rFonts w:ascii="Times New Roman" w:cs="Times New Roman" w:eastAsia="Times New Roman" w:hAnsi="Times New Roman"/>
          <w:color w:val="1F2937"/>
          <w:sz w:val="22"/>
          <w:szCs w:val="22"/>
        </w:rPr>
        <w:t xml:space="preserve">Prix d'achat (frais de notaire inclus) : 110 000 €</w:t>
      </w:r>
    </w:p>
    <w:p>
      <w:pPr>
        <w:pStyle w:val="ListParagraph"/>
        <w:numPr>
          <w:ilvl w:val="0"/>
          <w:numId w:val="1"/>
        </w:numPr>
        <w:spacing w:after="80"/>
      </w:pPr>
      <w:r>
        <w:rPr>
          <w:rFonts w:ascii="Times New Roman" w:cs="Times New Roman" w:eastAsia="Times New Roman" w:hAnsi="Times New Roman"/>
          <w:color w:val="1F2937"/>
          <w:sz w:val="22"/>
          <w:szCs w:val="22"/>
        </w:rPr>
        <w:t xml:space="preserve">Loyer mensuel nu (hors charges locataire) : 470 €/mois → 5 640 €/an</w:t>
      </w:r>
    </w:p>
    <w:p>
      <w:pPr>
        <w:pStyle w:val="ListParagraph"/>
        <w:numPr>
          <w:ilvl w:val="0"/>
          <w:numId w:val="1"/>
        </w:numPr>
        <w:spacing w:after="80"/>
      </w:pPr>
      <w:r>
        <w:rPr>
          <w:rFonts w:ascii="Times New Roman" w:cs="Times New Roman" w:eastAsia="Times New Roman" w:hAnsi="Times New Roman"/>
          <w:color w:val="1F2937"/>
          <w:sz w:val="22"/>
          <w:szCs w:val="22"/>
        </w:rPr>
        <w:t xml:space="preserve">Charges annuelles propriétaire : taxe foncière 700 €, assurance PNO 200 €, charges copropriété non récupérables 400 €, entretien courant 300 € → total 1 600 €/an</w:t>
      </w:r>
    </w:p>
    <w:p>
      <w:pPr>
        <w:pStyle w:val="ListParagraph"/>
        <w:numPr>
          <w:ilvl w:val="0"/>
          <w:numId w:val="1"/>
        </w:numPr>
        <w:spacing w:after="80"/>
      </w:pPr>
      <w:r>
        <w:rPr>
          <w:rFonts w:ascii="Times New Roman" w:cs="Times New Roman" w:eastAsia="Times New Roman" w:hAnsi="Times New Roman"/>
          <w:color w:val="1F2937"/>
          <w:sz w:val="22"/>
          <w:szCs w:val="22"/>
        </w:rPr>
        <w:t xml:space="preserve">Financement : comptant (pas d'emprunt)</w:t>
      </w:r>
    </w:p>
    <w:p>
      <w:pPr>
        <w:pStyle w:val="ListParagraph"/>
        <w:numPr>
          <w:ilvl w:val="0"/>
          <w:numId w:val="1"/>
        </w:numPr>
        <w:spacing w:after="80"/>
      </w:pPr>
      <w:r>
        <w:rPr>
          <w:rFonts w:ascii="Times New Roman" w:cs="Times New Roman" w:eastAsia="Times New Roman" w:hAnsi="Times New Roman"/>
          <w:color w:val="1F2937"/>
          <w:sz w:val="22"/>
          <w:szCs w:val="22"/>
        </w:rPr>
        <w:t xml:space="preserve">Hypothèse fiscale : régime micro-foncier, tranche IR 11 %, prélèvements sociaux location nue 17,2 %</w:t>
      </w:r>
    </w:p>
    <w:p>
      <w:pPr>
        <w:spacing w:after="80"/>
      </w:pPr>
      <w:r>
        <w:t xml:space="preserve"/>
      </w:r>
    </w:p>
    <w:p>
      <w:pPr>
        <w:pStyle w:val="ListParagraph"/>
        <w:numPr>
          <w:ilvl w:val="0"/>
          <w:numId w:val="1"/>
        </w:numPr>
        <w:spacing w:after="80"/>
      </w:pPr>
      <w:r>
        <w:rPr>
          <w:rFonts w:ascii="Times New Roman" w:cs="Times New Roman" w:eastAsia="Times New Roman" w:hAnsi="Times New Roman"/>
          <w:color w:val="1F2937"/>
          <w:sz w:val="22"/>
          <w:szCs w:val="22"/>
        </w:rPr>
        <w:t xml:space="preserve">3a. Calcule la rentabilité brute.</w:t>
      </w:r>
    </w:p>
    <w:p>
      <w:pPr>
        <w:pStyle w:val="ListParagraph"/>
        <w:numPr>
          <w:ilvl w:val="0"/>
          <w:numId w:val="1"/>
        </w:numPr>
        <w:spacing w:after="80"/>
      </w:pPr>
      <w:r>
        <w:rPr>
          <w:rFonts w:ascii="Times New Roman" w:cs="Times New Roman" w:eastAsia="Times New Roman" w:hAnsi="Times New Roman"/>
          <w:color w:val="1F2937"/>
          <w:sz w:val="22"/>
          <w:szCs w:val="22"/>
        </w:rPr>
        <w:t xml:space="preserve">3b. Calcule la rentabilité nette de charges (avant fiscalité).</w:t>
      </w:r>
    </w:p>
    <w:p>
      <w:pPr>
        <w:pStyle w:val="ListParagraph"/>
        <w:numPr>
          <w:ilvl w:val="0"/>
          <w:numId w:val="1"/>
        </w:numPr>
        <w:spacing w:after="80"/>
      </w:pPr>
      <w:r>
        <w:rPr>
          <w:rFonts w:ascii="Times New Roman" w:cs="Times New Roman" w:eastAsia="Times New Roman" w:hAnsi="Times New Roman"/>
          <w:color w:val="1F2937"/>
          <w:sz w:val="22"/>
          <w:szCs w:val="22"/>
        </w:rPr>
        <w:t xml:space="preserve">3c. Calcule la rentabilité nette de charges ET de fiscalité.</w:t>
      </w:r>
    </w:p>
    <w:p>
      <w:pPr>
        <w:spacing w:after="80"/>
      </w:pPr>
      <w:r>
        <w:t xml:space="preserve"/>
      </w:r>
    </w:p>
    <w:p>
      <w:pPr>
        <w:pStyle w:val="Heading3"/>
        <w:spacing w:after="100" w:before="200"/>
      </w:pPr>
      <w:r>
        <w:rPr>
          <w:rFonts w:ascii="Times New Roman" w:cs="Times New Roman" w:eastAsia="Times New Roman" w:hAnsi="Times New Roman"/>
          <w:b/>
          <w:bCs/>
          <w:color w:val="1F2937"/>
          <w:sz w:val="26"/>
          <w:szCs w:val="26"/>
        </w:rPr>
        <w:t xml:space="preserve">Corrigé — Exercice 3</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3a. Rentabilité brute :</w:t>
      </w:r>
      <w:r>
        <w:rPr>
          <w:rFonts w:ascii="Times New Roman" w:cs="Times New Roman" w:eastAsia="Times New Roman" w:hAnsi="Times New Roman"/>
          <w:color w:val="1F2937"/>
          <w:sz w:val="22"/>
          <w:szCs w:val="22"/>
        </w:rPr>
        <w:t xml:space="preserve"> Loyer annuel / Prix achat = 5 640 / 110 000 = </w:t>
      </w:r>
      <w:r>
        <w:rPr>
          <w:rFonts w:ascii="Times New Roman" w:cs="Times New Roman" w:eastAsia="Times New Roman" w:hAnsi="Times New Roman"/>
          <w:b/>
          <w:bCs/>
          <w:color w:val="1F2937"/>
          <w:sz w:val="22"/>
          <w:szCs w:val="22"/>
        </w:rPr>
        <w:t xml:space="preserve">5,13 %</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3b. Rentabilité nette de charges :</w:t>
      </w:r>
      <w:r>
        <w:rPr>
          <w:rFonts w:ascii="Times New Roman" w:cs="Times New Roman" w:eastAsia="Times New Roman" w:hAnsi="Times New Roman"/>
          <w:color w:val="1F2937"/>
          <w:sz w:val="22"/>
          <w:szCs w:val="22"/>
        </w:rPr>
        <w:t xml:space="preserve"> (5 640 − 1 600) / 110 000 = 4 040 / 110 000 = </w:t>
      </w:r>
      <w:r>
        <w:rPr>
          <w:rFonts w:ascii="Times New Roman" w:cs="Times New Roman" w:eastAsia="Times New Roman" w:hAnsi="Times New Roman"/>
          <w:b/>
          <w:bCs/>
          <w:color w:val="1F2937"/>
          <w:sz w:val="22"/>
          <w:szCs w:val="22"/>
        </w:rPr>
        <w:t xml:space="preserve">3,67 %</w:t>
      </w:r>
    </w:p>
    <w:p>
      <w:pPr>
        <w:pBdr>
          <w:left w:val="thick" w:color="1B3A6B" w:sz="12"/>
        </w:pBdr>
        <w:shd w:fill="EEF2F7" w:val="clear"/>
        <w:spacing w:after="100"/>
        <w:ind w:left="300"/>
      </w:pPr>
      <w:r>
        <w:rPr>
          <w:rFonts w:ascii="Times New Roman" w:cs="Times New Roman" w:eastAsia="Times New Roman" w:hAnsi="Times New Roman"/>
          <w:b/>
          <w:bCs/>
          <w:color w:val="1F2937"/>
          <w:sz w:val="22"/>
          <w:szCs w:val="22"/>
        </w:rPr>
        <w:t xml:space="preserve">3c. Rentabilité nette fiscalité (micro-foncier, IR 11 %, PS 17,2 %) :</w:t>
      </w:r>
      <w:r>
        <w:rPr>
          <w:rFonts w:ascii="Times New Roman" w:cs="Times New Roman" w:eastAsia="Times New Roman" w:hAnsi="Times New Roman"/>
          <w:color w:val="1F2937"/>
          <w:sz w:val="22"/>
          <w:szCs w:val="22"/>
        </w:rPr>
        <w:t xml:space="preserve"> ⚠️ Point de méthode : en micro-foncier, l'abattement de 30 % détermine la base imposable pour l'IMPÔT SUR LE REVENU **ET** pour les PRÉLÈVEMENTS SOCIAUX — la page impots.gouv.fr citée en ressources précise que ces taux s'appliquent au revenu net, après abattement forfaitaire ou charges réelles selon le régime. Les deux se calculent donc sur la même assiette. Base imposable = 5 640 × 70 % = 3 948 €  |  IR = 3 948 × 11 % = 434,28 €  |  PS = 3 948 × 17,2 % = 679,06 €  |  Total fiscal = 1 113,34 €  |  Revenu net = 4 040 − 1 113,34 = 2 926,66 €  |  Rentabilité nette réelle = 2 926,66 / 110 000 = </w:t>
      </w:r>
      <w:r>
        <w:rPr>
          <w:rFonts w:ascii="Times New Roman" w:cs="Times New Roman" w:eastAsia="Times New Roman" w:hAnsi="Times New Roman"/>
          <w:b/>
          <w:bCs/>
          <w:color w:val="1F2937"/>
          <w:sz w:val="22"/>
          <w:szCs w:val="22"/>
        </w:rPr>
        <w:t xml:space="preserve">2,66 %</w:t>
      </w:r>
    </w:p>
    <w:p>
      <w:pPr>
        <w:spacing w:after="80"/>
      </w:pPr>
      <w:r>
        <w:t xml:space="preserve"/>
      </w:r>
    </w:p>
    <w:p>
      <w:pPr>
        <w:pBdr>
          <w:left w:val="thick" w:color="D97706" w:sz="12"/>
        </w:pBdr>
        <w:shd w:fill="FFF4E5" w:val="clear"/>
        <w:spacing w:after="100"/>
        <w:ind w:left="300"/>
      </w:pPr>
      <w:r>
        <w:rPr>
          <w:rFonts w:ascii="Times New Roman" w:cs="Times New Roman" w:eastAsia="Times New Roman" w:hAnsi="Times New Roman"/>
          <w:color w:val="1F2937"/>
          <w:sz w:val="22"/>
          <w:szCs w:val="22"/>
        </w:rPr>
        <w:t xml:space="preserve">Le glissement de 5,13 % (brut) à 2,66 % (net réel) illustre concrètement pourquoi la rentabilité brute affichée dans les annonces ne reflète pas le revenu effectivement perçu. Cette simulation ne tient pas compte d'une éventuelle vacance locative (1 mois vide par an ferait baisser le revenu de ~470 €) ni des travaux de remise en état entre locataires.</w:t>
      </w:r>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Challenge — Tableau de décision multi-modèles</w:t>
      </w:r>
    </w:p>
    <w:p>
      <w:pPr>
        <w:spacing w:after="120"/>
      </w:pPr>
      <w:r>
        <w:rPr>
          <w:rFonts w:ascii="Times New Roman" w:cs="Times New Roman" w:eastAsia="Times New Roman" w:hAnsi="Times New Roman"/>
          <w:color w:val="1F2937"/>
          <w:sz w:val="22"/>
          <w:szCs w:val="22"/>
        </w:rPr>
        <w:t xml:space="preserve">À partir des leçons 02 (panorama), 04 (économie réelle), 05 (produits numériques) et 06 (placements financiers/immo), complète ce tableau comparatif des 4 modèles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Critère</w:t>
            </w:r>
          </w:p>
        </w:tc>
        <w:tc>
          <w:tcPr>
            <w:shd w:fill="1B3A6B" w:val="clear"/>
          </w:tcPr>
          <w:p>
            <w:pPr>
              <w:jc w:val="center"/>
            </w:pPr>
            <w:r>
              <w:rPr>
                <w:rFonts w:ascii="Times New Roman" w:cs="Times New Roman" w:eastAsia="Times New Roman" w:hAnsi="Times New Roman"/>
                <w:b/>
                <w:bCs/>
                <w:color w:val="FFFFFF"/>
                <w:sz w:val="20"/>
                <w:szCs w:val="20"/>
              </w:rPr>
              <w:t xml:space="preserve">ETF distribuant</w:t>
            </w:r>
          </w:p>
        </w:tc>
        <w:tc>
          <w:tcPr>
            <w:shd w:fill="1B3A6B" w:val="clear"/>
          </w:tcPr>
          <w:p>
            <w:pPr>
              <w:jc w:val="center"/>
            </w:pPr>
            <w:r>
              <w:rPr>
                <w:rFonts w:ascii="Times New Roman" w:cs="Times New Roman" w:eastAsia="Times New Roman" w:hAnsi="Times New Roman"/>
                <w:b/>
                <w:bCs/>
                <w:color w:val="FFFFFF"/>
                <w:sz w:val="20"/>
                <w:szCs w:val="20"/>
              </w:rPr>
              <w:t xml:space="preserve">Dividendes actions</w:t>
            </w:r>
          </w:p>
        </w:tc>
        <w:tc>
          <w:tcPr>
            <w:shd w:fill="1B3A6B" w:val="clear"/>
          </w:tcPr>
          <w:p>
            <w:pPr>
              <w:jc w:val="center"/>
            </w:pPr>
            <w:r>
              <w:rPr>
                <w:rFonts w:ascii="Times New Roman" w:cs="Times New Roman" w:eastAsia="Times New Roman" w:hAnsi="Times New Roman"/>
                <w:b/>
                <w:bCs/>
                <w:color w:val="FFFFFF"/>
                <w:sz w:val="20"/>
                <w:szCs w:val="20"/>
              </w:rPr>
              <w:t xml:space="preserve">SCPI (direct)</w:t>
            </w:r>
          </w:p>
        </w:tc>
        <w:tc>
          <w:tcPr>
            <w:shd w:fill="1B3A6B" w:val="clear"/>
          </w:tcPr>
          <w:p>
            <w:pPr>
              <w:jc w:val="center"/>
            </w:pPr>
            <w:r>
              <w:rPr>
                <w:rFonts w:ascii="Times New Roman" w:cs="Times New Roman" w:eastAsia="Times New Roman" w:hAnsi="Times New Roman"/>
                <w:b/>
                <w:bCs/>
                <w:color w:val="FFFFFF"/>
                <w:sz w:val="20"/>
                <w:szCs w:val="20"/>
              </w:rPr>
              <w:t xml:space="preserve">Locatif nu</w:t>
            </w:r>
          </w:p>
        </w:tc>
      </w:tr>
      <w:tr>
        <w:tc>
          <w:tcPr>
            <w:shd w:fill="FFFFFF" w:val="clear"/>
          </w:tcPr>
          <w:p>
            <w:r>
              <w:rPr>
                <w:rFonts w:ascii="Times New Roman" w:cs="Times New Roman" w:eastAsia="Times New Roman" w:hAnsi="Times New Roman"/>
                <w:color w:val="1F2937"/>
                <w:sz w:val="20"/>
                <w:szCs w:val="20"/>
              </w:rPr>
              <w:t xml:space="preserve">Capital minimum estimé</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Effort de démarrage</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Maintenance mensuelle estimée</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Rendement brut attendu 2024-2025</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Prélèvements sociaux applicables</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Enveloppe fiscale avantageuse ?</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r>
        <w:tc>
          <w:tcPr>
            <w:shd w:fill="FFFFFF" w:val="clear"/>
          </w:tcPr>
          <w:p>
            <w:r>
              <w:rPr>
                <w:rFonts w:ascii="Times New Roman" w:cs="Times New Roman" w:eastAsia="Times New Roman" w:hAnsi="Times New Roman"/>
                <w:color w:val="1F2937"/>
                <w:sz w:val="20"/>
                <w:szCs w:val="20"/>
              </w:rPr>
              <w:t xml:space="preserve">Liquidité (délai de sortie estimé)</w:t>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c>
          <w:tcPr>
            <w:shd w:fill="FFFFFF" w:val="clear"/>
          </w:tcPr>
          <w:p>
            <w:r>
              <w:rPr>
                <w:rFonts w:ascii="Times New Roman" w:cs="Times New Roman" w:eastAsia="Times New Roman" w:hAnsi="Times New Roman"/>
                <w:color w:val="1F2937"/>
                <w:sz w:val="20"/>
                <w:szCs w:val="20"/>
              </w:rPr>
              <w:t xml:space="preserve"/>
            </w:r>
          </w:p>
        </w:tc>
      </w:tr>
      <w:tr>
        <w:tc>
          <w:tcPr>
            <w:shd w:fill="EEF2F7" w:val="clear"/>
          </w:tcPr>
          <w:p>
            <w:r>
              <w:rPr>
                <w:rFonts w:ascii="Times New Roman" w:cs="Times New Roman" w:eastAsia="Times New Roman" w:hAnsi="Times New Roman"/>
                <w:color w:val="1F2937"/>
                <w:sz w:val="20"/>
                <w:szCs w:val="20"/>
              </w:rPr>
              <w:t xml:space="preserve">Principal risque de perte en capital</w:t>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c>
          <w:tcPr>
            <w:shd w:fill="EEF2F7" w:val="clear"/>
          </w:tcPr>
          <w:p>
            <w:r>
              <w:rPr>
                <w:rFonts w:ascii="Times New Roman" w:cs="Times New Roman" w:eastAsia="Times New Roman" w:hAnsi="Times New Roman"/>
                <w:color w:val="1F2937"/>
                <w:sz w:val="20"/>
                <w:szCs w:val="20"/>
              </w:rPr>
              <w:t xml:space="preserve"/>
            </w:r>
          </w:p>
        </w:tc>
      </w:tr>
    </w:tbl>
    <w:p>
      <w:pPr>
        <w:spacing w:after="80"/>
      </w:pPr>
      <w:r>
        <w:t xml:space="preserve"/>
      </w:r>
    </w:p>
    <w:p>
      <w:pPr>
        <w:spacing w:after="120"/>
      </w:pPr>
      <w:r>
        <w:rPr>
          <w:rFonts w:ascii="Times New Roman" w:cs="Times New Roman" w:eastAsia="Times New Roman" w:hAnsi="Times New Roman"/>
          <w:b/>
          <w:bCs/>
          <w:color w:val="1F2937"/>
          <w:sz w:val="22"/>
          <w:szCs w:val="22"/>
        </w:rPr>
        <w:t xml:space="preserve">À faire après le tableau :</w:t>
      </w:r>
      <w:r>
        <w:rPr>
          <w:rFonts w:ascii="Times New Roman" w:cs="Times New Roman" w:eastAsia="Times New Roman" w:hAnsi="Times New Roman"/>
          <w:color w:val="1F2937"/>
          <w:sz w:val="22"/>
          <w:szCs w:val="22"/>
        </w:rPr>
        <w:t xml:space="preserve"> formule une règle personnelle (« pour mon profil actuel, le modèle qui maximise le rapport rendement/effort/risque est… ») en justifiant avec au moins 3 critères chiffrés issus des leçons 04, 05 et 06. Rappel : toute décision réelle relève de ton jugement et, le cas échéant, d'un conseiller agréé (CIF, registre ORIAS).</w:t>
      </w:r>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Ressources cliquables</w:t>
      </w:r>
    </w:p>
    <w:p>
      <w:pPr>
        <w:spacing w:after="100"/>
      </w:pPr>
      <w:r>
        <w:rPr>
          <w:rFonts w:ascii="Times New Roman" w:cs="Times New Roman" w:eastAsia="Times New Roman" w:hAnsi="Times New Roman"/>
          <w:color w:val="1F2937"/>
          <w:sz w:val="22"/>
          <w:szCs w:val="22"/>
        </w:rPr>
        <w:t xml:space="preserve">1. </w:t>
      </w:r>
      <w:hyperlink w:history="1" r:id="rIdfiagq5oo2wdimobpxb6hh">
        <w:r>
          <w:rPr>
            <w:rFonts w:ascii="Times New Roman" w:cs="Times New Roman" w:eastAsia="Times New Roman" w:hAnsi="Times New Roman"/>
            <w:color w:val="1155CC"/>
            <w:sz w:val="22"/>
            <w:szCs w:val="22"/>
            <w:u w:val="single"/>
          </w:rPr>
          <w:t xml:space="preserve">Service-public.fr — Revenus d'épargne et de placement : dividendes, PFU, abattement 40 % (F2613)</w:t>
        </w:r>
      </w:hyperlink>
    </w:p>
    <w:p>
      <w:pPr>
        <w:spacing w:after="100"/>
      </w:pPr>
      <w:r>
        <w:rPr>
          <w:rFonts w:ascii="Times New Roman" w:cs="Times New Roman" w:eastAsia="Times New Roman" w:hAnsi="Times New Roman"/>
          <w:color w:val="1F2937"/>
          <w:sz w:val="22"/>
          <w:szCs w:val="22"/>
        </w:rPr>
        <w:t xml:space="preserve">2. </w:t>
      </w:r>
      <w:hyperlink w:history="1" r:id="rIdu1nheta6n4ab52az0ssbl">
        <w:r>
          <w:rPr>
            <w:rFonts w:ascii="Times New Roman" w:cs="Times New Roman" w:eastAsia="Times New Roman" w:hAnsi="Times New Roman"/>
            <w:color w:val="1155CC"/>
            <w:sz w:val="22"/>
            <w:szCs w:val="22"/>
            <w:u w:val="single"/>
          </w:rPr>
          <w:t xml:space="preserve">Service-public.fr — Taux des prélèvements sociaux 2026 sur revenus de placements : 18,6 % (F34913)</w:t>
        </w:r>
      </w:hyperlink>
    </w:p>
    <w:p>
      <w:pPr>
        <w:spacing w:after="100"/>
      </w:pPr>
      <w:r>
        <w:rPr>
          <w:rFonts w:ascii="Times New Roman" w:cs="Times New Roman" w:eastAsia="Times New Roman" w:hAnsi="Times New Roman"/>
          <w:color w:val="1F2937"/>
          <w:sz w:val="22"/>
          <w:szCs w:val="22"/>
        </w:rPr>
        <w:t xml:space="preserve">3. </w:t>
      </w:r>
      <w:hyperlink w:history="1" r:id="rIdyunoc653pi364wd3e-o2l">
        <w:r>
          <w:rPr>
            <w:rFonts w:ascii="Times New Roman" w:cs="Times New Roman" w:eastAsia="Times New Roman" w:hAnsi="Times New Roman"/>
            <w:color w:val="1155CC"/>
            <w:sz w:val="22"/>
            <w:szCs w:val="22"/>
            <w:u w:val="single"/>
          </w:rPr>
          <w:t xml:space="preserve">Impots.gouv.fr — Location vide : micro-foncier (seuil 15 000 €, abattement 30 %), régime réel, déficit foncier</w:t>
        </w:r>
      </w:hyperlink>
    </w:p>
    <w:p>
      <w:pPr>
        <w:spacing w:after="100"/>
      </w:pPr>
      <w:r>
        <w:rPr>
          <w:rFonts w:ascii="Times New Roman" w:cs="Times New Roman" w:eastAsia="Times New Roman" w:hAnsi="Times New Roman"/>
          <w:color w:val="1F2937"/>
          <w:sz w:val="22"/>
          <w:szCs w:val="22"/>
        </w:rPr>
        <w:t xml:space="preserve">4. </w:t>
      </w:r>
      <w:hyperlink w:history="1" r:id="rIdjwgudlq0pr3takd_rwj6r">
        <w:r>
          <w:rPr>
            <w:rFonts w:ascii="Times New Roman" w:cs="Times New Roman" w:eastAsia="Times New Roman" w:hAnsi="Times New Roman"/>
            <w:color w:val="1155CC"/>
            <w:sz w:val="22"/>
            <w:szCs w:val="22"/>
            <w:u w:val="single"/>
          </w:rPr>
          <w:t xml:space="preserve">Impots.gouv.fr — Prélèvements sociaux sur revenus locatifs : 17,2 % (location nue) / 18,6 % (meublée)</w:t>
        </w:r>
      </w:hyperlink>
    </w:p>
    <w:p>
      <w:pPr>
        <w:spacing w:after="100"/>
      </w:pPr>
      <w:r>
        <w:rPr>
          <w:rFonts w:ascii="Times New Roman" w:cs="Times New Roman" w:eastAsia="Times New Roman" w:hAnsi="Times New Roman"/>
          <w:color w:val="1F2937"/>
          <w:sz w:val="22"/>
          <w:szCs w:val="22"/>
        </w:rPr>
        <w:t xml:space="preserve">5. </w:t>
      </w:r>
      <w:hyperlink w:history="1" r:id="rId3md_okfzqcmygs0o7-jcc">
        <w:r>
          <w:rPr>
            <w:rFonts w:ascii="Times New Roman" w:cs="Times New Roman" w:eastAsia="Times New Roman" w:hAnsi="Times New Roman"/>
            <w:color w:val="1155CC"/>
            <w:sz w:val="22"/>
            <w:szCs w:val="22"/>
            <w:u w:val="single"/>
          </w:rPr>
          <w:t xml:space="preserve">ASPIM — Indicateurs de performance SCPI 2024 : taux de distribution 4,72 %, performance globale −1,1 %</w:t>
        </w:r>
      </w:hyperlink>
    </w:p>
    <w:p>
      <w:pPr>
        <w:spacing w:after="100"/>
      </w:pPr>
      <w:r>
        <w:rPr>
          <w:rFonts w:ascii="Times New Roman" w:cs="Times New Roman" w:eastAsia="Times New Roman" w:hAnsi="Times New Roman"/>
          <w:color w:val="1F2937"/>
          <w:sz w:val="22"/>
          <w:szCs w:val="22"/>
        </w:rPr>
        <w:t xml:space="preserve">6. </w:t>
      </w:r>
      <w:hyperlink w:history="1" r:id="rIdzpnj3oome3le1alm7udqq">
        <w:r>
          <w:rPr>
            <w:rFonts w:ascii="Times New Roman" w:cs="Times New Roman" w:eastAsia="Times New Roman" w:hAnsi="Times New Roman"/>
            <w:color w:val="1155CC"/>
            <w:sz w:val="22"/>
            <w:szCs w:val="22"/>
            <w:u w:val="single"/>
          </w:rPr>
          <w:t xml:space="preserve">AMF Espace épargnants — Listes noires, mises en garde, AMF Protect Epargne</w:t>
        </w:r>
      </w:hyperlink>
    </w:p>
    <w:p>
      <w:pPr>
        <w:spacing w:after="80"/>
      </w:pPr>
      <w:r>
        <w:t xml:space="preserve"/>
      </w:r>
    </w:p>
    <w:p>
      <w:pPr>
        <w:pStyle w:val="Heading2"/>
        <w:spacing w:after="160" w:before="320"/>
      </w:pPr>
      <w:r>
        <w:rPr>
          <w:rFonts w:ascii="Times New Roman" w:cs="Times New Roman" w:eastAsia="Times New Roman" w:hAnsi="Times New Roman"/>
          <w:b/>
          <w:bCs/>
          <w:color w:val="1B3A6B"/>
          <w:sz w:val="30"/>
          <w:szCs w:val="30"/>
        </w:rPr>
        <w:t xml:space="preserve">🔜 Prochaine leçon (n°07)</w:t>
      </w:r>
    </w:p>
    <w:p>
      <w:pPr>
        <w:spacing w:after="120"/>
      </w:pPr>
      <w:r>
        <w:rPr>
          <w:rFonts w:ascii="Times New Roman" w:cs="Times New Roman" w:eastAsia="Times New Roman" w:hAnsi="Times New Roman"/>
          <w:color w:val="1F2937"/>
          <w:sz w:val="22"/>
          <w:szCs w:val="22"/>
        </w:rPr>
        <w:t xml:space="preserve">La leçon 07 explorera le modèle le plus récent et le plus volatil : </w:t>
      </w:r>
      <w:r>
        <w:rPr>
          <w:rFonts w:ascii="Times New Roman" w:cs="Times New Roman" w:eastAsia="Times New Roman" w:hAnsi="Times New Roman"/>
          <w:b/>
          <w:bCs/>
          <w:color w:val="1F2937"/>
          <w:sz w:val="22"/>
          <w:szCs w:val="22"/>
        </w:rPr>
        <w:t xml:space="preserve">automatisations no-code, micro-SaaS et agents IA</w:t>
      </w:r>
      <w:r>
        <w:rPr>
          <w:rFonts w:ascii="Times New Roman" w:cs="Times New Roman" w:eastAsia="Times New Roman" w:hAnsi="Times New Roman"/>
          <w:color w:val="1F2937"/>
          <w:sz w:val="22"/>
          <w:szCs w:val="22"/>
        </w:rPr>
        <w:t xml:space="preserve">. Un modèle qui ne requiert ni capital immobilier ni titre financier, mais des compétences techniques et une tolérance forte à l'incertitude. Tu découvriras ses promesses réelles (quelques success stories documentées sur IndieHackers), ses taux d'échec, et les outils qui structurent cette niche en 2026.</w:t>
      </w:r>
    </w:p>
    <w:p>
      <w:pPr>
        <w:spacing w:after="80"/>
      </w:pPr>
      <w:r>
        <w:t xml:space="preserve"/>
      </w:r>
    </w:p>
    <w:p>
      <w:pPr>
        <w:pBdr>
          <w:top w:val="single" w:color="1B3A6B" w:sz="4"/>
        </w:pBdr>
        <w:spacing w:after="80" w:before="400"/>
      </w:pPr>
      <w:r>
        <w:rPr>
          <w:rFonts w:ascii="Times New Roman" w:cs="Times New Roman" w:eastAsia="Times New Roman" w:hAnsi="Times New Roman"/>
          <w:color w:val="1F2937"/>
          <w:sz w:val="18"/>
          <w:szCs w:val="18"/>
        </w:rPr>
        <w:t xml:space="preserve">Document éducatif exclusivement. Ne constitue pas un conseil en investissement au sens de la réglementation française (CIF, ORIAS). Toute décision financière engage votre seule responsabilité.</w:t>
      </w:r>
    </w:p>
    <w:p>
      <w:pPr>
        <w:spacing w:after="120" w:before="300"/>
      </w:pPr>
      <w:r>
        <w:rPr>
          <w:rFonts w:ascii="Times New Roman" w:cs="Times New Roman" w:eastAsia="Times New Roman" w:hAnsi="Times New Roman"/>
          <w:b/>
          <w:bCs/>
          <w:color w:val="1B3A6B"/>
          <w:sz w:val="28"/>
          <w:szCs w:val="28"/>
        </w:rPr>
        <w:t xml:space="preserve">📝 Journal des corrections</w:t>
      </w:r>
    </w:p>
    <w:p>
      <w:pPr>
        <w:spacing w:after="80" w:before="80"/>
      </w:pPr>
      <w:r>
        <w:rPr>
          <w:rFonts w:ascii="Times New Roman" w:cs="Times New Roman" w:eastAsia="Times New Roman" w:hAnsi="Times New Roman"/>
          <w:color w:val="1F2937"/>
          <w:sz w:val="22"/>
          <w:szCs w:val="22"/>
        </w:rPr>
        <w:t xml:space="preserve">Leçon produite et relue le 30/08/2026. La correction est fondue dans le texte ci-dessus ; la formulation d'origine est conservée ici.</w:t>
      </w:r>
    </w:p>
    <w:p>
      <w:pPr>
        <w:spacing w:after="80" w:before="80"/>
      </w:pPr>
      <w:r>
        <w:rPr>
          <w:rFonts w:ascii="Times New Roman" w:cs="Times New Roman" w:eastAsia="Times New Roman" w:hAnsi="Times New Roman"/>
          <w:color w:val="1F2937"/>
          <w:sz w:val="22"/>
          <w:szCs w:val="22"/>
        </w:rPr>
        <w:t xml:space="preserve">1. Exercice 3c — assiette des prélèvements sociaux en micro-foncier.</w:t>
      </w:r>
    </w:p>
    <w:p>
      <w:pPr>
        <w:spacing w:after="80" w:before="80"/>
      </w:pPr>
      <w:r>
        <w:rPr>
          <w:rFonts w:ascii="Times New Roman" w:cs="Times New Roman" w:eastAsia="Times New Roman" w:hAnsi="Times New Roman"/>
          <w:color w:val="1F2937"/>
          <w:sz w:val="22"/>
          <w:szCs w:val="22"/>
        </w:rPr>
        <w:t xml:space="preserve">Version initiale : « Base imposable IR = 5 640 × 70 % = 3 948 € | IR = 3 948 × 11 % = 434,28 € | PS = 5 640 × 17,2 % = 969,91 € | Total fiscal = 1 404,19 € | Revenu net = 4 040 − 1 404,19 = 2 635,81 € | Rentabilité nette réelle = 2,40 % ». L'impôt sur le revenu était bien assis sur la base après abattement, mais les prélèvements sociaux étaient calculés sur le LOYER BRUT. Or la page impots.gouv.fr citée en ressource n° 4 de cette même leçon indique que ces taux s'appliquent au revenu net, après abattement forfaitaire ou charges réelles selon le régime : l'assiette est la même pour l'IR et pour les prélèvements sociaux. Vérifié le 30/08/2026. Les prélèvements sociaux passent donc de 969,91 € à 679,06 €, le total fiscal de 1 404,19 € à 1 113,34 €, et la rentabilité nette réelle de 2,40 % à 2,66 %. La démonstration de l'exercice n'est pas affectée — le glissement de la rentabilité brute affichée au revenu réellement perçu reste son enseignement — mais elle surestimait la ponction fiscale de près de 300 €. Une note de méthode a été ajoutée au corrigé pour que l'assiette commune soit explicite.</w:t>
      </w:r>
    </w:p>
    <w:p>
      <w:pPr>
        <w:spacing w:after="80" w:before="80"/>
      </w:pPr>
      <w:r>
        <w:rPr>
          <w:rFonts w:ascii="Times New Roman" w:cs="Times New Roman" w:eastAsia="Times New Roman" w:hAnsi="Times New Roman"/>
          <w:color w:val="1F2937"/>
          <w:sz w:val="22"/>
          <w:szCs w:val="22"/>
        </w:rPr>
        <w:t xml:space="preserve">Vérifié lors de la relecture et inchangé : la distinction 17,2 % (location nue : CSG 9,2 + CRDS 0,5 + solidarité 7,5) contre 18,6 % (location meublée : CSG 10,6), contrôlée le 30/08/2026 sur la page impots.gouv.fr citée — c'est un point que beaucoup de sources confondent, et la leçon le traite correctement ; le PFU à 31,4 % et l'arbitrage avec le barème progressif, dont le seuil de bascule calculé (60 % × 30 % + 18,6 % = 36,6 % &gt; 31,4 %) est exact ; l'exercice 1 dans son intégralité (823,20 € nets au PFU, 897,60 € au barème à 11 %) ; les rentabilités brute (5,13 %) et nette de charges (3,67 %) de l'exercice 3 ; et l'ensemble des chiffres ASPIM 2024 — taux de distribution 4,72 %, performance globale −1,1 %, bureaux −5,1 %, valeur de réalisation −5,8 %, taux d'occupation financier 92,2 %.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iagq5oo2wdimobpxb6hh" Type="http://schemas.openxmlformats.org/officeDocument/2006/relationships/hyperlink" Target="https://www.service-public.gouv.fr/particuliers/vosdroits/F2613" TargetMode="External"/><Relationship Id="rIdu1nheta6n4ab52az0ssbl" Type="http://schemas.openxmlformats.org/officeDocument/2006/relationships/hyperlink" Target="https://www.service-public.gouv.fr/particuliers/vosdroits/F34913/1_7" TargetMode="External"/><Relationship Id="rIdyunoc653pi364wd3e-o2l" Type="http://schemas.openxmlformats.org/officeDocument/2006/relationships/hyperlink" Target="https://www.impots.gouv.fr/particulier/location-vide-de-meubles" TargetMode="External"/><Relationship Id="rIdjwgudlq0pr3takd_rwj6r" Type="http://schemas.openxmlformats.org/officeDocument/2006/relationships/hyperlink" Target="https://www.impots.gouv.fr/particulier/questions/je-donne-un-bien-en-location-dois-je-payer-des-prelevements-sociaux" TargetMode="External"/><Relationship Id="rId3md_okfzqcmygs0o7-jcc" Type="http://schemas.openxmlformats.org/officeDocument/2006/relationships/hyperlink" Target="https://www.aspim.fr/actualites/les-fonds-immobiliers-grand-public-au-1er-trimestre-2025-les-indicateurs-de-performance-2024-des-scpi/" TargetMode="External"/><Relationship Id="rIdzpnj3oome3le1alm7udqq" Type="http://schemas.openxmlformats.org/officeDocument/2006/relationships/hyperlink" Target="https://www.amf-france.org/fr/espace-epargnant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Revenus passifs n°06 — Placements à revenu : ETF distribuants, dividendes et immobilier locatif / SCPI</dc:title>
  <dc:creator>Claude — Parcours Revenus passifs</dc:creator>
  <dc:description>Leçon 06/10 du parcours Revenus passifs — 30 août 2026</dc:description>
  <cp:lastModifiedBy>Un-named</cp:lastModifiedBy>
  <cp:revision>1</cp:revision>
  <dcterms:created xsi:type="dcterms:W3CDTF">2026-08-30T05:13:01.122Z</dcterms:created>
  <dcterms:modified xsi:type="dcterms:W3CDTF">2026-08-30T05:13:01.148Z</dcterms:modified>
</cp:coreProperties>
</file>

<file path=docProps/custom.xml><?xml version="1.0" encoding="utf-8"?>
<Properties xmlns="http://schemas.openxmlformats.org/officeDocument/2006/custom-properties" xmlns:vt="http://schemas.openxmlformats.org/officeDocument/2006/docPropsVTypes"/>
</file>