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374151"/>
          <w:sz w:val="16"/>
          <w:szCs w:val="16"/>
        </w:rPr>
        <w:t xml:space="preserve">LEÇON NO-CODE + IA  •  N° 04  •  24 AVRIL 2026</w:t>
      </w:r>
    </w:p>
    <w:p>
      <w:pPr>
        <w:spacing w:after="60"/>
      </w:pPr>
      <w:r>
        <w:rPr>
          <w:b/>
          <w:bCs/>
          <w:color w:val="1B3A6B"/>
          <w:sz w:val="34"/>
          <w:szCs w:val="34"/>
        </w:rPr>
        <w:t xml:space="preserve">GPT-5.5 et l'évaluation des agents IA autonomes</w:t>
      </w:r>
    </w:p>
    <w:p>
      <w:pPr>
        <w:spacing w:after="200"/>
      </w:pPr>
      <w:r>
        <w:rPr>
          <w:color w:val="374151"/>
          <w:sz w:val="19"/>
          <w:szCs w:val="19"/>
        </w:rPr>
        <w:t xml:space="preserve">Règle 20 % théorie / 80 % pratique  •  Sources : 6/8 accessibles</w:t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📰 Actualités de la semaine</w:t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IA — Modèles</w:t>
      </w:r>
    </w:p>
    <w:p>
      <w:pPr>
        <w:shd w:fill="EEF2F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🚀  OpenAI lance GPT-5.5 (23 avril 2026)</w:t>
      </w:r>
    </w:p>
    <w:p>
      <w:pPr>
        <w:shd w:fill="EEF2F7" w:val="solid"/>
        <w:spacing w:after="120" w:before="0"/>
        <w:ind w:left="360"/>
      </w:pPr>
      <w:r>
        <w:rPr>
          <w:sz w:val="19"/>
          <w:szCs w:val="19"/>
        </w:rPr>
        <w:t xml:space="preserve">Nouveau modèle phare d'OpenAI présenté comme « une nouvelle classe d'intelligence ». Tarif API doublé par rapport à GPT-4o. Capacités améliorées en raisonnement, code et agents autonomes.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0j6s0mn0idzts5u48ug1f">
        <w:r>
          <w:rPr>
            <w:color w:val="1155CC"/>
            <w:sz w:val="20"/>
            <w:szCs w:val="20"/>
            <w:u w:val="single"/>
          </w:rPr>
          <w:t xml:space="preserve">OpenAI unveils GPT-5.5, claims a "new class of intelligence"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aggbuthdbxnamfhru2ul">
        <w:r>
          <w:rPr>
            <w:color w:val="1155CC"/>
            <w:sz w:val="20"/>
            <w:szCs w:val="20"/>
            <w:u w:val="single"/>
          </w:rPr>
          <w:t xml:space="preserve">Hy3 preview: Hunyuan reconstruit — MoE 21B actifs + nouvelle recette de raisonnement</w:t>
        </w:r>
      </w:hyperlink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IA — Agents &amp; Autonomie</w:t>
      </w:r>
    </w:p>
    <w:p>
      <w:pPr>
        <w:shd w:fill="EEF2F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🤖  Make : construire, faire confiance et scaler des IA autonomes</w:t>
      </w:r>
    </w:p>
    <w:p>
      <w:pPr>
        <w:shd w:fill="EEF2F7" w:val="solid"/>
        <w:spacing w:after="120" w:before="0"/>
        <w:ind w:left="360"/>
      </w:pPr>
      <w:r>
        <w:rPr>
          <w:sz w:val="19"/>
          <w:szCs w:val="19"/>
        </w:rPr>
        <w:t xml:space="preserve">Guide complet pour déployer des IA autonomes en entreprise : architecture, confiance, monitoring. Comparatif RPA vs IA agentique pour choisir la bonne approche d'automatisation.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rgvnckq2hy6jjojkmtlvv">
        <w:r>
          <w:rPr>
            <w:color w:val="1155CC"/>
            <w:sz w:val="20"/>
            <w:szCs w:val="20"/>
            <w:u w:val="single"/>
          </w:rPr>
          <w:t xml:space="preserve">Autonomous AI: build it, trust it, scale it (2026) — Make Blog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hfdckert6zxnu2xc5hbic">
        <w:r>
          <w:rPr>
            <w:color w:val="1155CC"/>
            <w:sz w:val="20"/>
            <w:szCs w:val="20"/>
            <w:u w:val="single"/>
          </w:rPr>
          <w:t xml:space="preserve">RPA vs. agentic AI: What's the difference and which should you use? — Make Blog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i4nj_jmhkz5t44m8fx71t">
        <w:r>
          <w:rPr>
            <w:color w:val="1155CC"/>
            <w:sz w:val="20"/>
            <w:szCs w:val="20"/>
            <w:u w:val="single"/>
          </w:rPr>
          <w:t xml:space="preserve">How to evaluate the performance of AI agents? — n8n Blog</w:t>
        </w:r>
      </w:hyperlink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NO-CODE — Outils &amp; Design</w:t>
      </w:r>
    </w:p>
    <w:p>
      <w:pPr>
        <w:shd w:fill="EEF2F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🎨  Google open-source DESIGN.md : des agents IA respectent votre charte graphique</w:t>
      </w:r>
    </w:p>
    <w:p>
      <w:pPr>
        <w:shd w:fill="EEF2F7" w:val="solid"/>
        <w:spacing w:after="120" w:before="0"/>
        <w:ind w:left="360"/>
      </w:pPr>
      <w:r>
        <w:rPr>
          <w:sz w:val="19"/>
          <w:szCs w:val="19"/>
        </w:rPr>
        <w:t xml:space="preserve">Google publie le format DESIGN.md en open source : un fichier markdown décrivant les règles de design d'une marque, lisible par les agents IA pour générer des interfaces cohérentes.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s90mq3mkfmnoos9wupb2c">
        <w:r>
          <w:rPr>
            <w:color w:val="1155CC"/>
            <w:sz w:val="20"/>
            <w:szCs w:val="20"/>
            <w:u w:val="single"/>
          </w:rPr>
          <w:t xml:space="preserve">Google's open-source DESIGN.md gives AI agents a brand-consistent design blueprint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rgocff_17vq4o9iaprnvt">
        <w:r>
          <w:rPr>
            <w:color w:val="1155CC"/>
            <w:sz w:val="20"/>
            <w:szCs w:val="20"/>
            <w:u w:val="single"/>
          </w:rPr>
          <w:t xml:space="preserve">Codex Automations : planifier et déclencher des tâches automatiquement — OpenAI Academy</w:t>
        </w:r>
      </w:hyperlink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🔬 Théorie (20 %) — Évaluer un agent IA autonome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Un agent IA autonome prend des décisions en chaîne sans validation humaine à chaque étape. La question centrale : comment savoir s'il fait bien son travail ?</w:t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Les 4 niveaux d'évaluation d'un agent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2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4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— Tâche</w:t>
            </w:r>
          </w:p>
        </w:tc>
        <w:tc>
          <w:tcPr>
            <w:tcW w:type="dxa" w:w="32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 tâche est-elle accomplie ?</w:t>
            </w:r>
          </w:p>
        </w:tc>
        <w:tc>
          <w:tcPr>
            <w:tcW w:type="dxa" w:w="34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Vérification déterministe (fichier créé, URL accessible…)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— Qualité</w:t>
            </w:r>
          </w:p>
        </w:tc>
        <w:tc>
          <w:tcPr>
            <w:tcW w:type="dxa" w:w="32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 résultat est-il correct ?</w:t>
            </w:r>
          </w:p>
        </w:tc>
        <w:tc>
          <w:tcPr>
            <w:tcW w:type="dxa" w:w="34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Vérification par LLM juge ou humain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— Efficacité</w:t>
            </w:r>
          </w:p>
        </w:tc>
        <w:tc>
          <w:tcPr>
            <w:tcW w:type="dxa" w:w="32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A-t-il utilisé le bon chemin ?</w:t>
            </w:r>
          </w:p>
        </w:tc>
        <w:tc>
          <w:tcPr>
            <w:tcW w:type="dxa" w:w="34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Comptage des appels d'outils, des tokens, du coût</w:t>
            </w:r>
          </w:p>
        </w:tc>
      </w:tr>
      <w:tr>
        <w:trPr>
          <w:tblHeader w:val="false"/>
        </w:trPr>
        <w:tc>
          <w:tcPr>
            <w:tcW w:type="dxa" w:w="32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— Robustesse</w:t>
            </w:r>
          </w:p>
        </w:tc>
        <w:tc>
          <w:tcPr>
            <w:tcW w:type="dxa" w:w="32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Résiste-t-il aux cas limites ?</w:t>
            </w:r>
          </w:p>
        </w:tc>
        <w:tc>
          <w:tcPr>
            <w:tcW w:type="dxa" w:w="34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Tests avec entrées ambiguës, erreurs simulées, edge cases</w:t>
            </w:r>
          </w:p>
        </w:tc>
      </w:tr>
    </w:tbl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Offline vs Online : deux modes d'évaluation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Offline (avant déploiement) : tests sur des jeux de données fixes avec résultats attendus. Rapide, reproductible, pas de coût IA en production.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Online (en production) : monitoring des vraies interactions. Plus réaliste mais coûteux à analyser. Nécessite des métriques auto-calculées.</w:t>
      </w:r>
    </w:p>
    <w:p>
      <w:pPr>
        <w:shd w:fill="D1FAE5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💡  À retenir</w:t>
      </w:r>
    </w:p>
    <w:p>
      <w:pPr>
        <w:shd w:fill="D1FAE5" w:val="solid"/>
        <w:spacing w:after="120" w:before="0"/>
        <w:ind w:left="360"/>
      </w:pPr>
      <w:r>
        <w:rPr>
          <w:sz w:val="19"/>
          <w:szCs w:val="19"/>
        </w:rPr>
        <w:t xml:space="preserve">Pour un agent de veille : mesurer (1) nombre de sources accessibles, (2) pertinence des résumés (score LLM 0-5), (3) temps d'exécution, (4) coût API en $ par run.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🛠️ Exercices pratiques (80 %)</w:t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Exercice 1 — Tester GPT-5.5 sur une tâche agentique (30 min)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Objectif : comparer GPT-5.5 et GPT-4o sur une même tâche de synthèse documentaire.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Ouvrir ChatGPT ou l'API Playground avec GPT-5.5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Soumettre ce prompt : « Lis l'URL https://the-decoder.com et résume les 3 articles les plus importants de la semaine en 5 bullet points chacun. Indique les URLs. 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Reproduire exactement le même prompt avec GPT-4o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Comparer : qualité des résumés, respect des URLs, longueur, 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Documenter : lequel préfères-tu pour une veille automatisée ? Pourquoi ?</w:t>
      </w:r>
    </w:p>
    <w:p>
      <w:pPr>
        <w:shd w:fill="EEF2F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📝  Livrable attendu</w:t>
      </w:r>
    </w:p>
    <w:p>
      <w:pPr>
        <w:shd w:fill="EEF2F7" w:val="solid"/>
        <w:spacing w:after="120" w:before="0"/>
        <w:ind w:left="360"/>
      </w:pPr>
      <w:r>
        <w:rPr>
          <w:sz w:val="19"/>
          <w:szCs w:val="19"/>
        </w:rPr>
        <w:t xml:space="preserve">Un tableau comparatif Word ou Notion : GPT-5.5 vs GPT-4o sur 5 critères de ton choix.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Exercice 2 — Évaluer un workflow Make avec une grille de qualité (45 min)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Objectif : appliquer le framework d'évaluation des agents IA à un workflow Make existant.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Créer un workflow Make simple : récupérer le RSS de the-decoder.com → filtrer les articles de la semaine → envoyer un résumé par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Tester le workflow 3 fois avec des dates différentes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Remplir la grille d'évaluation ci-dessous pour chaque run 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9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49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 1</w:t>
            </w:r>
          </w:p>
        </w:tc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 2</w:t>
            </w:r>
          </w:p>
        </w:tc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 3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Tâche accomplie ? (oui/non)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d'articles traités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Résumé pertinent ? (1-5)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Temps d'exécution (s)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Erreurs rencontrées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shd w:fill="EEF2F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📝  Livrable attendu</w:t>
      </w:r>
    </w:p>
    <w:p>
      <w:pPr>
        <w:shd w:fill="EEF2F7" w:val="solid"/>
        <w:spacing w:after="120" w:before="0"/>
        <w:ind w:left="360"/>
      </w:pPr>
      <w:r>
        <w:rPr>
          <w:sz w:val="19"/>
          <w:szCs w:val="19"/>
        </w:rPr>
        <w:t xml:space="preserve">La grille remplie + 3 captures d'écran des runs Make + une phrase de conclusion sur la fiabilité du workflow.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Exercice 3 — Créer un fichier DESIGN.md pour ton projet (30 min)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Objectif : utiliser le format DESIGN.md de Google pour documenter ta charte graphique et la rendre utilisable par les agents 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Ouvrir un nouveau fichier DESIGN.md dans ton éditeur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Y décrire en markdown : couleurs principales (hex), typographie, espacements, ton de la communication, exemples de bon/mauvais usage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Demander à Claude (ou GPT-5.5) : « Lis ce DESIGN.md et génère le code CSS correspondant pour un site web 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Vérifier que le CSS généré respecte bien ta charte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Bonus : demander à Claude de générer une page HTML complète en respectant le DESIGN.md</w:t>
      </w:r>
    </w:p>
    <w:p>
      <w:pPr>
        <w:shd w:fill="EEF2F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📝  Livrable attendu</w:t>
      </w:r>
    </w:p>
    <w:p>
      <w:pPr>
        <w:shd w:fill="EEF2F7" w:val="solid"/>
        <w:spacing w:after="120" w:before="0"/>
        <w:ind w:left="360"/>
      </w:pPr>
      <w:r>
        <w:rPr>
          <w:sz w:val="19"/>
          <w:szCs w:val="19"/>
        </w:rPr>
        <w:t xml:space="preserve">Ton fichier DESIGN.md + le CSS généré + une capture du rendu HTML.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🎯 Challenge de la semaine</w:t>
      </w:r>
    </w:p>
    <w:p>
      <w:pPr>
        <w:shd w:fill="FEF3C7" w:val="solid"/>
        <w:spacing w:after="0" w:before="120"/>
        <w:ind w:left="360"/>
      </w:pPr>
      <w:r>
        <w:rPr>
          <w:b/>
          <w:bCs/>
          <w:color w:val="1B3A6B"/>
          <w:sz w:val="21"/>
          <w:szCs w:val="21"/>
        </w:rPr>
        <w:t xml:space="preserve">🏆  Agent de veille auto-évalué</w:t>
      </w:r>
    </w:p>
    <w:p>
      <w:pPr>
        <w:shd w:fill="FEF3C7" w:val="solid"/>
        <w:spacing w:after="120" w:before="0"/>
        <w:ind w:left="360"/>
      </w:pPr>
      <w:r>
        <w:rPr>
          <w:sz w:val="19"/>
          <w:szCs w:val="19"/>
        </w:rPr>
        <w:t xml:space="preserve">Construis un agent (n8n, Make ou code) qui : (1) récupère 3 sources chaque semaine, (2) résume les articles, (3) s'auto-évalue sur les 4 niveaux du tableau ci-dessus, (4) envoie un rapport avec son propre score de qualité. L'agent doit savoir s'il a bien travaillé — sans intervention humaine.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📚 Ressources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rulmm8y7hqrmafgui9bhk">
        <w:r>
          <w:rPr>
            <w:color w:val="1155CC"/>
            <w:sz w:val="20"/>
            <w:szCs w:val="20"/>
            <w:u w:val="single"/>
          </w:rPr>
          <w:t xml:space="preserve">Introducing GPT-5.5 — OpenAI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ef7j2x_r5qoefnk96nvgt">
        <w:r>
          <w:rPr>
            <w:color w:val="1155CC"/>
            <w:sz w:val="20"/>
            <w:szCs w:val="20"/>
            <w:u w:val="single"/>
          </w:rPr>
          <w:t xml:space="preserve">How to evaluate the performance of AI agents — n8n Blog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-iinmcf4iodsyp-splmep">
        <w:r>
          <w:rPr>
            <w:color w:val="1155CC"/>
            <w:sz w:val="20"/>
            <w:szCs w:val="20"/>
            <w:u w:val="single"/>
          </w:rPr>
          <w:t xml:space="preserve">Autonomous AI: build it, trust it, scale it — Make Blog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qie_cbhfd016ylwhve00b">
        <w:r>
          <w:rPr>
            <w:color w:val="1155CC"/>
            <w:sz w:val="20"/>
            <w:szCs w:val="20"/>
            <w:u w:val="single"/>
          </w:rPr>
          <w:t xml:space="preserve">Google DESIGN.md format — The Decoder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4spk85q8uq3pfomxclv9a">
        <w:r>
          <w:rPr>
            <w:color w:val="1155CC"/>
            <w:sz w:val="20"/>
            <w:szCs w:val="20"/>
            <w:u w:val="single"/>
          </w:rPr>
          <w:t xml:space="preserve">Top 10 uses for Codex at work — OpenAI Academy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f6f4e7idg--dz8ucx5hug">
        <w:r>
          <w:rPr>
            <w:color w:val="1155CC"/>
            <w:sz w:val="20"/>
            <w:szCs w:val="20"/>
            <w:u w:val="single"/>
          </w:rPr>
          <w:t xml:space="preserve">Workflow vs Orchestration: architectural differences — n8n</w:t>
        </w:r>
      </w:hyperlink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Retours terrain sur GPT-5.5 : vaut-il vraiment le doublement du prix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Déploiement de Codex Automations en dehors des États-Unis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Adoption du format DESIGN.md par d'autres entreprises tech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n8n : roadmap agents 2026 — nouvelles intégrations natives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spacing w:before="100"/>
        <w:jc w:val="center"/>
      </w:pPr>
      <w:r>
        <w:rPr>
          <w:i/>
          <w:iCs/>
          <w:color w:val="374151"/>
          <w:sz w:val="16"/>
          <w:szCs w:val="16"/>
        </w:rPr>
        <w:t xml:space="preserve">Leçon NO-CODE + IA n° 04 — 24 avril 2026  •  Sources : the-decoder.com | huggingface.co | openai.com | make.com | n8n.io  •  Claude_Travail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j6s0mn0idzts5u48ug1f" Type="http://schemas.openxmlformats.org/officeDocument/2006/relationships/hyperlink" Target="https://the-decoder.com/openai-unveils-gpt-5-5-claims-a-new-class-of-intelligence-at-double-the-api-price/" TargetMode="External"/><Relationship Id="rIdgaggbuthdbxnamfhru2ul" Type="http://schemas.openxmlformats.org/officeDocument/2006/relationships/hyperlink" Target="https://huggingface.co/blog/imnotkitty/hy3-preview" TargetMode="External"/><Relationship Id="rIdrgvnckq2hy6jjojkmtlvv" Type="http://schemas.openxmlformats.org/officeDocument/2006/relationships/hyperlink" Target="https://make.com/en/blog/autonomous-ai" TargetMode="External"/><Relationship Id="rIdhfdckert6zxnu2xc5hbic" Type="http://schemas.openxmlformats.org/officeDocument/2006/relationships/hyperlink" Target="https://make.com/en/blog/RPA-vs-agentic-AI" TargetMode="External"/><Relationship Id="rIdi4nj_jmhkz5t44m8fx71t" Type="http://schemas.openxmlformats.org/officeDocument/2006/relationships/hyperlink" Target="https://blog.n8n.io/how-to-evaluate-the-performance-of-ai-agents/" TargetMode="External"/><Relationship Id="rIds90mq3mkfmnoos9wupb2c" Type="http://schemas.openxmlformats.org/officeDocument/2006/relationships/hyperlink" Target="https://the-decoder.com/googles-open-source-design-md-gives-ai-agents-a-prompt-ready-blueprint-for-brand-consistent-design/" TargetMode="External"/><Relationship Id="rIdrgocff_17vq4o9iaprnvt" Type="http://schemas.openxmlformats.org/officeDocument/2006/relationships/hyperlink" Target="https://openai.com/academy/codex-automations" TargetMode="External"/><Relationship Id="rIdrulmm8y7hqrmafgui9bhk" Type="http://schemas.openxmlformats.org/officeDocument/2006/relationships/hyperlink" Target="https://openai.com/index/introducing-gpt-5-5" TargetMode="External"/><Relationship Id="rIdef7j2x_r5qoefnk96nvgt" Type="http://schemas.openxmlformats.org/officeDocument/2006/relationships/hyperlink" Target="https://blog.n8n.io/how-to-evaluate-the-performance-of-ai-agents/" TargetMode="External"/><Relationship Id="rId-iinmcf4iodsyp-splmep" Type="http://schemas.openxmlformats.org/officeDocument/2006/relationships/hyperlink" Target="https://make.com/en/blog/autonomous-ai" TargetMode="External"/><Relationship Id="rIdqie_cbhfd016ylwhve00b" Type="http://schemas.openxmlformats.org/officeDocument/2006/relationships/hyperlink" Target="https://the-decoder.com/googles-open-source-design-md-gives-ai-agents-a-prompt-ready-blueprint-for-brand-consistent-design/" TargetMode="External"/><Relationship Id="rId4spk85q8uq3pfomxclv9a" Type="http://schemas.openxmlformats.org/officeDocument/2006/relationships/hyperlink" Target="https://openai.com/academy/top-10-use-cases-codex-for-work" TargetMode="External"/><Relationship Id="rIdf6f4e7idg--dz8ucx5hug" Type="http://schemas.openxmlformats.org/officeDocument/2006/relationships/hyperlink" Target="https://blog.n8n.io/workflow-vs-orchestration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2026-04-24T04:27:53.873Z</dcterms:created>
  <dcterms:modified xsi:type="dcterms:W3CDTF">2026-04-24T04:27:53.892Z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