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374151"/>
          <w:sz w:val="16"/>
          <w:szCs w:val="16"/>
        </w:rPr>
        <w:t xml:space="preserve">VEILLE HEBDOMADAIRE  •  SERAFIN-PH</w:t>
      </w:r>
    </w:p>
    <w:p>
      <w:pPr>
        <w:spacing w:after="60"/>
      </w:pPr>
      <w:r>
        <w:rPr>
          <w:b/>
          <w:bCs/>
          <w:color w:val="1B3A6B"/>
          <w:sz w:val="32"/>
          <w:szCs w:val="32"/>
        </w:rPr>
        <w:t xml:space="preserve">Synthèse hebdomadaire</w:t>
      </w:r>
    </w:p>
    <w:p>
      <w:pPr>
        <w:spacing w:after="200"/>
      </w:pPr>
      <w:r>
        <w:rPr>
          <w:color w:val="374151"/>
          <w:sz w:val="19"/>
          <w:szCs w:val="19"/>
        </w:rPr>
        <w:t xml:space="preserve">Semaine du 21 au 24 avril 2026  •  Produit le 24 avril 2026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66"/>
            <w:shd w:fill="1B3A6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266"/>
            <w:shd w:fill="1B3A6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3266"/>
            <w:shd w:fill="1B3A6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rPr>
          <w:tblHeader w:val="false"/>
        </w:trPr>
        <w:tc>
          <w:tcPr>
            <w:tcW w:type="dxa" w:w="3266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Handicap.gouv.fr</w:t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handicap.gouv.fr/comite-strategique-serafin-ph</w:t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 Accessible</w:t>
            </w:r>
          </w:p>
        </w:tc>
      </w:tr>
      <w:tr>
        <w:trPr>
          <w:tblHeader w:val="false"/>
        </w:trPr>
        <w:tc>
          <w:tcPr>
            <w:tcW w:type="dxa" w:w="3266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CNSA.fr</w:t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cnsa.fr/actualites/serafin-ph-recueil-2026</w:t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 Accessible</w:t>
            </w:r>
          </w:p>
        </w:tc>
      </w:tr>
      <w:tr>
        <w:trPr>
          <w:tblHeader w:val="false"/>
        </w:trPr>
        <w:tc>
          <w:tcPr>
            <w:tcW w:type="dxa" w:w="3266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ATIH</w:t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atih.sante.fr/recueil-national-ph-2025</w:t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 Via Chrome (redirigé 2025)</w:t>
            </w:r>
          </w:p>
        </w:tc>
      </w:tr>
    </w:tbl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Bdr>
          <w:bottom w:val="single" w:color="1B3A6B" w:sz="6"/>
        </w:pBdr>
        <w:spacing w:after="160" w:before="160"/>
      </w:pPr>
    </w:p>
    <w:p>
      <w:pPr>
        <w:pStyle w:val="Heading1"/>
        <w:spacing w:after="100" w:before="280"/>
      </w:pPr>
      <w:r>
        <w:rPr>
          <w:b/>
          <w:bCs/>
          <w:color w:val="1B3A6B"/>
          <w:sz w:val="26"/>
          <w:szCs w:val="26"/>
        </w:rPr>
        <w:t xml:space="preserve">🔵 En bref — Tableau de bord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66"/>
            <w:shd w:fill="1B3A6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Thème</w:t>
            </w:r>
          </w:p>
        </w:tc>
        <w:tc>
          <w:tcPr>
            <w:tcW w:type="dxa" w:w="3266"/>
            <w:shd w:fill="1B3A6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3266"/>
            <w:shd w:fill="1B3A6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Échéance</w:t>
            </w:r>
          </w:p>
        </w:tc>
      </w:tr>
      <w:tr>
        <w:trPr>
          <w:tblHeader w:val="false"/>
        </w:trPr>
        <w:tc>
          <w:tcPr>
            <w:tcW w:type="dxa" w:w="3266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Comité stratégique SERAFIN-PH</w:t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 Réuni le 2 juillet 2025</w:t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66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Recueil PH 2025 (ATIH, secteur enfance)</w:t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✅ Clôturé (3 fév. – 13 avril 2025)</w:t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Terminé</w:t>
            </w:r>
          </w:p>
        </w:tc>
      </w:tr>
      <w:tr>
        <w:trPr>
          <w:tblHeader w:val="false"/>
        </w:trPr>
        <w:tc>
          <w:tcPr>
            <w:tcW w:type="dxa" w:w="3266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Application à blanc du modèle</w:t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⏳ Prévue pour les ESSMS enfance</w:t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2026</w:t>
            </w:r>
          </w:p>
        </w:tc>
      </w:tr>
      <w:tr>
        <w:trPr>
          <w:tblHeader w:val="false"/>
        </w:trPr>
        <w:tc>
          <w:tcPr>
            <w:tcW w:type="dxa" w:w="3266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Recueil PH 2026 – Phase 1 (places)</w:t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⏳ En préparation</w:t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Mars 2026</w:t>
            </w:r>
          </w:p>
        </w:tc>
      </w:tr>
      <w:tr>
        <w:trPr>
          <w:tblHeader w:val="false"/>
        </w:trPr>
        <w:tc>
          <w:tcPr>
            <w:tcW w:type="dxa" w:w="3266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Recueil PH 2026 – Phase 2 (modulation)</w:t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⏳ En préparation</w:t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Mai 2026</w:t>
            </w:r>
          </w:p>
        </w:tc>
      </w:tr>
      <w:tr>
        <w:trPr>
          <w:tblHeader w:val="false"/>
        </w:trPr>
        <w:tc>
          <w:tcPr>
            <w:tcW w:type="dxa" w:w="3266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Déploiement du nouveau modèle tarifaire</w:t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⏳ Planifié</w:t>
            </w:r>
          </w:p>
        </w:tc>
        <w:tc>
          <w:tcPr>
            <w:tcW w:type="dxa" w:w="3266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2027</w:t>
            </w:r>
          </w:p>
        </w:tc>
      </w:tr>
    </w:tbl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Bdr>
          <w:bottom w:val="single" w:color="1B3A6B" w:sz="6"/>
        </w:pBdr>
        <w:spacing w:after="160" w:before="160"/>
      </w:pPr>
    </w:p>
    <w:p>
      <w:pPr>
        <w:pStyle w:val="Heading1"/>
        <w:spacing w:after="100" w:before="280"/>
      </w:pPr>
      <w:r>
        <w:rPr>
          <w:b/>
          <w:bCs/>
          <w:color w:val="1B3A6B"/>
          <w:sz w:val="26"/>
          <w:szCs w:val="26"/>
        </w:rPr>
        <w:t xml:space="preserve">2. Actualités par source</w:t>
      </w:r>
    </w:p>
    <w:p>
      <w:pPr>
        <w:pStyle w:val="Heading2"/>
        <w:spacing w:after="80" w:before="180"/>
      </w:pPr>
      <w:r>
        <w:rPr>
          <w:b/>
          <w:bCs/>
          <w:color w:val="1B3A6B"/>
          <w:sz w:val="22"/>
          <w:szCs w:val="22"/>
        </w:rPr>
        <w:t xml:space="preserve">Source 1 — Handicap.gouv.fr (3 juillet 2025)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>Le comité stratégique SERAFIN-PH a été réuni le 2 juillet 2025 sous la présidence de Charlotte Parmentier-Lecocq, ministre chargée de l'Autonomie et du Handicap. Les travaux ont permis d'examiner les premiers résultats du recueil 2025 et les grandes orientations du modèle de financement.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Taux de répondants : 86 % des établissements pour enfants en situation de handicap, représentant 90 % des solutions disponibles.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Limitation identifiée : fiabilité des données de transport — des travaux d'approfondissement sont prévus durant l'été 2025.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Le modèle de financement retenu combine une dotation socle (sécurité) et des mécanismes d'innovation.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Prochaines étapes : finalisation du modèle de transition, préparation du recueil 2026, communication des impacts de la réforme pour un déploiement en 2027.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180"/>
      </w:pPr>
      <w:r>
        <w:rPr>
          <w:b/>
          <w:bCs/>
          <w:color w:val="1B3A6B"/>
          <w:sz w:val="22"/>
          <w:szCs w:val="22"/>
        </w:rPr>
        <w:t xml:space="preserve">Source 2 — CNSA.fr (17 décembre 2025)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>La CNSA et la DGCS préparent le recueil d'informations PH 2026 auprès des ESSMS du secteur enfance. Cet exercice vise à préfigurer en conditions réelles la mise en œuvre du futur modèle tarifaire, sans impact financier (année blanche 2026).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Phase 1 — Mars 2026 : recueil des caractéristiques des places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Phase 2 — Mai 2026 : recueil des indicateurs de modulation d'activité (10 variables) et de dotation complémentaire (6 variables)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Environ une quarantaine de variables strictement nécessaires à l'initialisation du futur modèle — approche ciblée.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Les données de transport ont été exclues du périmètre du recueil 2026 (fiabilité insuffisante en 2025).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Les modalités techniques (accès application, variables, calendrier détaillé) seront communiquées via les ARS.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180"/>
      </w:pPr>
      <w:r>
        <w:rPr>
          <w:b/>
          <w:bCs/>
          <w:color w:val="1B3A6B"/>
          <w:sz w:val="22"/>
          <w:szCs w:val="22"/>
        </w:rPr>
        <w:t xml:space="preserve">Source 3 — ATIH : Recueil national PH 2025 (clôturé)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>La page ATIH 2026 est introuvable — le recueil 2026 n'est pas encore lancé sur la plateforme. La page PH 2025 reste disponible et contient l'ensemble de la documentation du recueil clôturé en avril 2025.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Périmètre PH 2025 : ESSMS accompagnant les personnes handicapées du secteur enfance, accessibles sur orientation CDAPH.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Calendrier PH 2025 : recueil du 3 février au 13 avril 2025 (coupe de 14 jours consécutifs).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Logiciel utilisé : RAMSECE-PH 2025 (fourni par l'ATIH) + plateforme e-PH pour la transmission des données.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Accompagnement : support méthodologique via methodo.ph@excolyon.com, support technique via support@atih.sante.fr.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Exclusions du périmètre : CAMSP, CMPP, BAPU, PCO, PCPE, équipes mobiles, DAR, UEEA, UEMA, PFR, EPIDA.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Bdr>
          <w:bottom w:val="single" w:color="1B3A6B" w:sz="6"/>
        </w:pBdr>
        <w:spacing w:after="160" w:before="160"/>
      </w:pPr>
    </w:p>
    <w:p>
      <w:pPr>
        <w:pStyle w:val="Heading1"/>
        <w:spacing w:after="100" w:before="280"/>
      </w:pPr>
      <w:r>
        <w:rPr>
          <w:b/>
          <w:bCs/>
          <w:color w:val="1B3A6B"/>
          <w:sz w:val="26"/>
          <w:szCs w:val="26"/>
        </w:rPr>
        <w:t xml:space="preserve">3. Points de vigilance pour les directions d'ESSMS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900"/>
            <w:shd w:fill="1B3A6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⚠️ Point</w:t>
            </w:r>
          </w:p>
        </w:tc>
        <w:tc>
          <w:tcPr>
            <w:tcW w:type="dxa" w:w="4900"/>
            <w:shd w:fill="1B3A6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Détail pratique</w:t>
            </w:r>
          </w:p>
        </w:tc>
      </w:tr>
      <w:tr>
        <w:trPr>
          <w:tblHeader w:val="false"/>
        </w:trPr>
        <w:tc>
          <w:tcPr>
            <w:tcW w:type="dxa" w:w="49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Recueil PH 2026 (enfance uniquement)</w:t>
            </w:r>
          </w:p>
        </w:tc>
        <w:tc>
          <w:tcPr>
            <w:tcW w:type="dxa" w:w="49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Seuls les ESSMS du secteur enfance sont concernés par le recueil PH 2026. Les établissements adultes (FAM, MAS, SAVS) ne sont pas encore dans le périmètre SERAFIN-PH.</w:t>
            </w:r>
          </w:p>
        </w:tc>
      </w:tr>
      <w:tr>
        <w:trPr>
          <w:tblHeader w:val="false"/>
        </w:trPr>
        <w:tc>
          <w:tcPr>
            <w:tcW w:type="dxa" w:w="49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Calendrier à anticiper dès maintenant</w:t>
            </w:r>
          </w:p>
        </w:tc>
        <w:tc>
          <w:tcPr>
            <w:tcW w:type="dxa" w:w="49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Le recueil PH 2026 se déroulera en deux phases (mars et mai 2026). Les ESSMS concernés doivent anticiper la mobilisation des équipes et les accès aux outils ATIH.</w:t>
            </w:r>
          </w:p>
        </w:tc>
      </w:tr>
      <w:tr>
        <w:trPr>
          <w:tblHeader w:val="false"/>
        </w:trPr>
        <w:tc>
          <w:tcPr>
            <w:tcW w:type="dxa" w:w="49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Données de transport exclues en 2026</w:t>
            </w:r>
          </w:p>
        </w:tc>
        <w:tc>
          <w:tcPr>
            <w:tcW w:type="dxa" w:w="49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Les données de transport/déplacements de professionnels sont exclues du périmètre 2026 suite aux difficultés de fiabilité constatées en 2025. Pas d'action à prévoir sur ce point.</w:t>
            </w:r>
          </w:p>
        </w:tc>
      </w:tr>
      <w:tr>
        <w:trPr>
          <w:tblHeader w:val="false"/>
        </w:trPr>
        <w:tc>
          <w:tcPr>
            <w:tcW w:type="dxa" w:w="49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Année blanche 2026 — aucun impact financier</w:t>
            </w:r>
          </w:p>
        </w:tc>
        <w:tc>
          <w:tcPr>
            <w:tcW w:type="dxa" w:w="49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Le recueil 2026 est une simulation sans impact financier. Le déploiement réel du nouveau modèle tarifaire est prévu pour 2027.</w:t>
            </w:r>
          </w:p>
        </w:tc>
      </w:tr>
      <w:tr>
        <w:trPr>
          <w:tblHeader w:val="false"/>
        </w:trPr>
        <w:tc>
          <w:tcPr>
            <w:tcW w:type="dxa" w:w="49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Contacts ARS à identifier</w:t>
            </w:r>
          </w:p>
        </w:tc>
        <w:tc>
          <w:tcPr>
            <w:tcW w:type="dxa" w:w="49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Les modalités de connexion aux outils (calendrier, accès PLAGE/e-PH) seront communiquées via les ARS. Identifier dès maintenant le référent ARS SERAFIN-PH de son territoire.</w:t>
            </w:r>
          </w:p>
        </w:tc>
      </w:tr>
    </w:tbl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Bdr>
          <w:bottom w:val="single" w:color="1B3A6B" w:sz="6"/>
        </w:pBdr>
        <w:spacing w:after="160" w:before="160"/>
      </w:pPr>
    </w:p>
    <w:p>
      <w:pPr>
        <w:pStyle w:val="Heading1"/>
        <w:spacing w:after="100" w:before="280"/>
      </w:pPr>
      <w:r>
        <w:rPr>
          <w:b/>
          <w:bCs/>
          <w:color w:val="1B3A6B"/>
          <w:sz w:val="26"/>
          <w:szCs w:val="26"/>
        </w:rPr>
        <w:t xml:space="preserve">4. Agenda — Prochains rendez-vous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 ] Mars 2026 — Phase 1 recueil PH 2026 : caractéristiques des places (ESSMS secteur enfance)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 ] Mai 2026 — Phase 2 recueil PH 2026 : indicateurs de modulation et dotation complémentaire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 ] 2026 — Application à blanc du modèle tarifaire pour le secteur enfance (simulation sans impact)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 ] 2027 — Déploiement du nouveau modèle SERAFIN-PH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 ] Prochainement — Communication des ARS sur les modalités techniques du recueil 2026</w:t>
      </w:r>
    </w:p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Bdr>
          <w:bottom w:val="single" w:color="1B3A6B" w:sz="6"/>
        </w:pBdr>
        <w:spacing w:after="160" w:before="160"/>
      </w:pPr>
    </w:p>
    <w:p>
      <w:pPr>
        <w:pStyle w:val="Heading1"/>
        <w:spacing w:after="100" w:before="280"/>
      </w:pPr>
      <w:r>
        <w:rPr>
          <w:b/>
          <w:bCs/>
          <w:color w:val="1B3A6B"/>
          <w:sz w:val="26"/>
          <w:szCs w:val="26"/>
        </w:rPr>
        <w:t xml:space="preserve">5. Rappel — Rôle de chaque acteur SERAFIN-PH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900"/>
            <w:shd w:fill="1B3A6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Acteur</w:t>
            </w:r>
          </w:p>
        </w:tc>
        <w:tc>
          <w:tcPr>
            <w:tcW w:type="dxa" w:w="4900"/>
            <w:shd w:fill="1B3A6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Rôle dans SERAFIN-PH</w:t>
            </w:r>
          </w:p>
        </w:tc>
      </w:tr>
      <w:tr>
        <w:trPr>
          <w:tblHeader w:val="false"/>
        </w:trPr>
        <w:tc>
          <w:tcPr>
            <w:tcW w:type="dxa" w:w="49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DGCS</w:t>
            </w:r>
          </w:p>
        </w:tc>
        <w:tc>
          <w:tcPr>
            <w:tcW w:type="dxa" w:w="49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Direction générale de la cohésion sociale — pilotage national de la réforme, co-pilote avec la CNSA</w:t>
            </w:r>
          </w:p>
        </w:tc>
      </w:tr>
      <w:tr>
        <w:trPr>
          <w:tblHeader w:val="false"/>
        </w:trPr>
        <w:tc>
          <w:tcPr>
            <w:tcW w:type="dxa" w:w="49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CNSA</w:t>
            </w:r>
          </w:p>
        </w:tc>
        <w:tc>
          <w:tcPr>
            <w:tcW w:type="dxa" w:w="49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Caisse nationale de solidarité pour l'autonomie — co-pilote, animation des travaux, communication aux acteurs</w:t>
            </w:r>
          </w:p>
        </w:tc>
      </w:tr>
      <w:tr>
        <w:trPr>
          <w:tblHeader w:val="false"/>
        </w:trPr>
        <w:tc>
          <w:tcPr>
            <w:tcW w:type="dxa" w:w="49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ATIH</w:t>
            </w:r>
          </w:p>
        </w:tc>
        <w:tc>
          <w:tcPr>
            <w:tcW w:type="dxa" w:w="49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Agence technique — maîtrise d'œuvre du recueil de données, logiciel RAMSECE-PH, plateforme e-PH</w:t>
            </w:r>
          </w:p>
        </w:tc>
      </w:tr>
      <w:tr>
        <w:trPr>
          <w:tblHeader w:val="false"/>
        </w:trPr>
        <w:tc>
          <w:tcPr>
            <w:tcW w:type="dxa" w:w="49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ARS</w:t>
            </w:r>
          </w:p>
        </w:tc>
        <w:tc>
          <w:tcPr>
            <w:tcW w:type="dxa" w:w="49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Agences régionales de santé — relais territoriaux, communication aux ESSMS, contrôle qualité des données</w:t>
            </w:r>
          </w:p>
        </w:tc>
      </w:tr>
      <w:tr>
        <w:trPr>
          <w:tblHeader w:val="false"/>
        </w:trPr>
        <w:tc>
          <w:tcPr>
            <w:tcW w:type="dxa" w:w="4900"/>
            <w:shd w:fill="F9FAFB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ESSMS</w:t>
            </w:r>
          </w:p>
        </w:tc>
        <w:tc>
          <w:tcPr>
            <w:tcW w:type="dxa" w:w="4900"/>
            <w:shd w:fill="FFFFFF" w:val="solid"/>
          </w:tcPr>
          <w:p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Établissements et services — participent au recueil, transmettent les données via RAMSECE-PH et e-PH</w:t>
            </w:r>
          </w:p>
        </w:tc>
      </w:tr>
    </w:tbl>
    <w:p>
      <w:pPr>
        <w:spacing w:after="60" w:before="60"/>
        <w:jc w:val="both"/>
      </w:pPr>
      <w:r>
        <w:rPr>
          <w:sz w:val="20"/>
          <w:szCs w:val="20"/>
        </w:rPr>
        <w:t xml:space="preserve"/>
      </w:r>
    </w:p>
    <w:p>
      <w:pPr>
        <w:pBdr>
          <w:bottom w:val="single" w:color="1B3A6B" w:sz="6"/>
        </w:pBdr>
        <w:spacing w:after="160" w:before="160"/>
      </w:pPr>
    </w:p>
    <w:p>
      <w:pPr>
        <w:spacing w:before="100"/>
        <w:jc w:val="center"/>
      </w:pPr>
      <w:r>
        <w:rPr>
          <w:i/>
          <w:iCs/>
          <w:color w:val="374151"/>
          <w:sz w:val="16"/>
          <w:szCs w:val="16"/>
        </w:rPr>
        <w:t xml:space="preserve">Veille produite le 24 avril 2026  •  Sources : handicap.gouv.fr ✅ | cnsa.fr ✅ | atih.sante.fr ✅ (PH 2025)  •  Claude_Travail</w:t>
      </w: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2026-04-24T04:26:00.631Z</dcterms:created>
  <dcterms:modified xsi:type="dcterms:W3CDTF">2026-04-24T04:26:00.646Z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