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jc w:val="center"/>
      </w:pPr>
      <w:r>
        <w:rPr>
          <w:rFonts w:ascii="Times New Roman" w:cs="Times New Roman" w:eastAsia="Times New Roman" w:hAnsi="Times New Roman"/>
          <w:b/>
          <w:bCs/>
          <w:color w:val="1B3A6B"/>
          <w:sz w:val="52"/>
          <w:szCs w:val="52"/>
        </w:rPr>
        <w:t xml:space="preserve">Leçon Psychopathologie clinique n°10</w:t>
      </w:r>
    </w:p>
    <w:p>
      <w:pPr>
        <w:pStyle w:val="Heading1"/>
        <w:spacing w:after="200" w:before="300"/>
        <w:jc w:val="center"/>
      </w:pPr>
      <w:r>
        <w:rPr>
          <w:rFonts w:ascii="Times New Roman" w:cs="Times New Roman" w:eastAsia="Times New Roman" w:hAnsi="Times New Roman"/>
          <w:b/>
          <w:bCs/>
          <w:color w:val="1B3A6B"/>
          <w:sz w:val="52"/>
          <w:szCs w:val="52"/>
        </w:rPr>
        <w:t xml:space="preserve">Les troubles des conduites alimentaires (TCA)</w:t>
      </w:r>
    </w:p>
    <w:p>
      <w:pPr>
        <w:spacing w:after="80" w:before="80"/>
      </w:pPr>
      <w:r>
        <w:rPr>
          <w:rFonts w:ascii="Times New Roman" w:cs="Times New Roman" w:eastAsia="Times New Roman" w:hAnsi="Times New Roman"/>
          <w:b/>
          <w:bCs/>
          <w:i w:val="false"/>
          <w:iCs w:val="false"/>
          <w:color w:val="1F2937"/>
          <w:sz w:val="22"/>
          <w:szCs w:val="22"/>
        </w:rPr>
        <w:t xml:space="preserve">Date : 14 août 2026   |   Leçon 10 / 20</w:t>
      </w:r>
    </w:p>
    <w:p>
      <w:pPr>
        <w:spacing w:after="80" w:before="80"/>
      </w:pPr>
      <w:r>
        <w:rPr>
          <w:rFonts w:ascii="Times New Roman" w:cs="Times New Roman" w:eastAsia="Times New Roman" w:hAnsi="Times New Roman"/>
          <w:b w:val="false"/>
          <w:bCs w:val="false"/>
          <w:i/>
          <w:iCs/>
          <w:color w:val="1F2937"/>
          <w:sz w:val="22"/>
          <w:szCs w:val="22"/>
        </w:rPr>
        <w:t xml:space="preserve">Parcours : du fondamental à l'avancé — chaque leçon s'appuie sur les précédentes.</w:t>
      </w:r>
    </w:p>
    <w:p>
      <w:pPr>
        <w:pBdr>
          <w:bottom w:val="single" w:color="1B3A6B" w:sz="6"/>
        </w:pBdr>
        <w:spacing w:after="200" w:before="200"/>
      </w:pPr>
    </w:p>
    <w:p>
      <w:pPr>
        <w:pStyle w:val="Heading2"/>
        <w:spacing w:after="120" w:before="28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l'issue de cette leçon, tu seras capable 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distinguer les principaux tableaux cliniques des TCA (anorexie mentale, boulimie nerveuse, hyperphagie boulimique, ARFID) selon les critères DSM-5-TR et CIM-11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identifier les facteurs de risque biopsychosociaux et les comorbidités psychiatriques les plus fréquentes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conduire une analyse clinique de vignettes en mobilisant la sémiologie et les modèles étudiés lors des leçons précédentes.</w:t>
      </w:r>
    </w:p>
    <w:p>
      <w:pPr>
        <w:spacing w:after="100" w:before="100"/>
      </w:pPr>
    </w:p>
    <w:p>
      <w:pPr>
        <w:shd w:fill="F3F4F6" w:val="clear"/>
        <w:spacing w:after="120" w:before="120"/>
        <w:ind w:left="431" w:right="431"/>
      </w:pPr>
      <w:r>
        <w:rPr>
          <w:rFonts w:ascii="Times New Roman" w:cs="Times New Roman" w:eastAsia="Times New Roman" w:hAnsi="Times New Roman"/>
          <w:i/>
          <w:iCs/>
          <w:color w:val="1B3A6B"/>
          <w:sz w:val="22"/>
          <w:szCs w:val="22"/>
        </w:rPr>
        <w:t xml:space="preserve">Continuité avec la leçon 9 — La leçon précédente portait sur les troubles du neurodéveloppement (TSA, TDAH, TDI). Tu y as travaillé la notion de présentation atypique et de comorbidités. Garde cette grille : les TCA sont fréquemment associés au TSA (notamment chez les femmes autistes) et au TDAH, avec des présentations qui brouillent le diagnostic.</w:t>
      </w:r>
    </w:p>
    <w:p>
      <w:pPr>
        <w:pBdr>
          <w:bottom w:val="single" w:color="1B3A6B" w:sz="6"/>
        </w:pBdr>
        <w:spacing w:after="200" w:before="200"/>
      </w:pPr>
    </w:p>
    <w:p>
      <w:pPr>
        <w:pStyle w:val="Heading2"/>
        <w:spacing w:after="120" w:before="280"/>
      </w:pPr>
      <w:r>
        <w:rPr>
          <w:rFonts w:ascii="Times New Roman" w:cs="Times New Roman" w:eastAsia="Times New Roman" w:hAnsi="Times New Roman"/>
          <w:b/>
          <w:bCs/>
          <w:color w:val="1B3A6B"/>
          <w:sz w:val="30"/>
          <w:szCs w:val="30"/>
        </w:rPr>
        <w:t xml:space="preserve">🔬 Théorie (20 %) — Sémiologie et classifications des TCA</w:t>
      </w:r>
    </w:p>
    <w:p>
      <w:pPr>
        <w:pStyle w:val="Heading3"/>
        <w:spacing w:after="80" w:before="200"/>
      </w:pPr>
      <w:r>
        <w:rPr>
          <w:rFonts w:ascii="Times New Roman" w:cs="Times New Roman" w:eastAsia="Times New Roman" w:hAnsi="Times New Roman"/>
          <w:b/>
          <w:bCs/>
          <w:color w:val="1F2937"/>
          <w:sz w:val="26"/>
          <w:szCs w:val="26"/>
        </w:rPr>
        <w:t xml:space="preserve">1. Définition et panorama</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troubles des conduites alimentaires (TCA) sont des troubles psychiatriques caractérisés par des comportements alimentaires perturbés, une préoccupation excessive pour le poids et l'image corporelle, et des conséquences somatiques potentiellement graves. Ils figurent parmi les troubles mentaux à la mortalité la plus élevée : une étude de cohorte britannique (2025, 24 709 patients) documente un risque de mortalité multiplié par 4,6 la première année post-diagnostic, et un risque suicidaire 13 fois supérieur à la population générale — des chiffres qui soulignent l'urgence d'un repérage précoce.</w:t>
      </w:r>
    </w:p>
    <w:p>
      <w:pPr>
        <w:spacing w:after="100" w:before="100"/>
      </w:pPr>
    </w:p>
    <w:p>
      <w:pPr>
        <w:spacing w:after="80" w:before="80"/>
      </w:pPr>
      <w:r>
        <w:rPr>
          <w:rFonts w:ascii="Times New Roman" w:cs="Times New Roman" w:eastAsia="Times New Roman" w:hAnsi="Times New Roman"/>
          <w:b w:val="false"/>
          <w:bCs w:val="false"/>
          <w:i w:val="false"/>
          <w:iCs w:val="false"/>
          <w:color w:val="1F2937"/>
          <w:sz w:val="22"/>
          <w:szCs w:val="22"/>
        </w:rPr>
        <w:t xml:space="preserve">Cadre déontologique rappelé ici : comprendre ces tableaux cliniques est une compétence de repérage et d'orientation, non de diagnostic. Le diagnostic est réservé aux médecins psychiatres et aux psychologues cliniciens. Une posture non stigmatisante, centrée sur la personne et les ressources de rétablissement, est indispensable.</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2. Les principales catégories cliniques</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1B3A6B" w:val="clear"/>
            <w:vAlign w:val="center"/>
          </w:tcPr>
          <w:p>
            <w:r>
              <w:rPr>
                <w:rFonts w:ascii="Times New Roman" w:cs="Times New Roman" w:eastAsia="Times New Roman" w:hAnsi="Times New Roman"/>
                <w:b/>
                <w:bCs/>
                <w:color w:val="FFFFFF"/>
                <w:sz w:val="22"/>
                <w:szCs w:val="22"/>
              </w:rPr>
              <w:t xml:space="preserve">Trouble</w:t>
            </w:r>
          </w:p>
        </w:tc>
        <w:tc>
          <w:tcPr>
            <w:shd w:fill="1B3A6B" w:val="clear"/>
            <w:vAlign w:val="center"/>
          </w:tcPr>
          <w:p>
            <w:r>
              <w:rPr>
                <w:rFonts w:ascii="Times New Roman" w:cs="Times New Roman" w:eastAsia="Times New Roman" w:hAnsi="Times New Roman"/>
                <w:b/>
                <w:bCs/>
                <w:color w:val="FFFFFF"/>
                <w:sz w:val="22"/>
                <w:szCs w:val="22"/>
              </w:rPr>
              <w:t xml:space="preserve">Caractéristiques essentielles</w:t>
            </w:r>
          </w:p>
        </w:tc>
      </w:tr>
      <w:tr>
        <w:tc>
          <w:tcPr>
            <w:shd w:fill="FFFFFF" w:val="clear"/>
          </w:tcPr>
          <w:p>
            <w:r>
              <w:rPr>
                <w:rFonts w:ascii="Times New Roman" w:cs="Times New Roman" w:eastAsia="Times New Roman" w:hAnsi="Times New Roman"/>
                <w:color w:val="1F2937"/>
                <w:sz w:val="22"/>
                <w:szCs w:val="22"/>
              </w:rPr>
              <w:t xml:space="preserve">Anorexie mentale (AM)
DSM-5 : F50.01 / F50.02</w:t>
            </w:r>
          </w:p>
        </w:tc>
        <w:tc>
          <w:tcPr>
            <w:shd w:fill="FFFFFF" w:val="clear"/>
          </w:tcPr>
          <w:p>
            <w:r>
              <w:rPr>
                <w:rFonts w:ascii="Times New Roman" w:cs="Times New Roman" w:eastAsia="Times New Roman" w:hAnsi="Times New Roman"/>
                <w:color w:val="1F2937"/>
                <w:sz w:val="22"/>
                <w:szCs w:val="22"/>
              </w:rPr>
              <w:t xml:space="preserve">Restriction énergétique → poids significativement bas · Peur intense de prendre du poids · Perturbation de l'image corporelle
2 sous-types : restrictif / boulimique-purgatif
Note DSM-5-TR : critère d'aménorrhée supprimé</w:t>
            </w:r>
          </w:p>
        </w:tc>
      </w:tr>
      <w:tr>
        <w:tc>
          <w:tcPr>
            <w:shd w:fill="EEF2F7" w:val="clear"/>
          </w:tcPr>
          <w:p>
            <w:r>
              <w:rPr>
                <w:rFonts w:ascii="Times New Roman" w:cs="Times New Roman" w:eastAsia="Times New Roman" w:hAnsi="Times New Roman"/>
                <w:color w:val="1F2937"/>
                <w:sz w:val="22"/>
                <w:szCs w:val="22"/>
              </w:rPr>
              <w:t xml:space="preserve">Boulimie nerveuse (BN)
DSM-5 : F50.2</w:t>
            </w:r>
          </w:p>
        </w:tc>
        <w:tc>
          <w:tcPr>
            <w:shd w:fill="EEF2F7" w:val="clear"/>
          </w:tcPr>
          <w:p>
            <w:r>
              <w:rPr>
                <w:rFonts w:ascii="Times New Roman" w:cs="Times New Roman" w:eastAsia="Times New Roman" w:hAnsi="Times New Roman"/>
                <w:color w:val="1F2937"/>
                <w:sz w:val="22"/>
                <w:szCs w:val="22"/>
              </w:rPr>
              <w:t xml:space="preserve">Crises récurrentes (≥ 1/semaine, 3 mois) avec perte de contrôle + comportements compensatoires inappropriés (vomissements, laxatifs, sport excessif)
Sévérité : légère (1-3/sem) à extrême (≥ 14/sem)</w:t>
            </w:r>
          </w:p>
        </w:tc>
      </w:tr>
      <w:tr>
        <w:tc>
          <w:tcPr>
            <w:shd w:fill="FFFFFF" w:val="clear"/>
          </w:tcPr>
          <w:p>
            <w:r>
              <w:rPr>
                <w:rFonts w:ascii="Times New Roman" w:cs="Times New Roman" w:eastAsia="Times New Roman" w:hAnsi="Times New Roman"/>
                <w:color w:val="1F2937"/>
                <w:sz w:val="22"/>
                <w:szCs w:val="22"/>
              </w:rPr>
              <w:t xml:space="preserve">Hyperphagie boulimique (BED)
DSM-5 : F50.81</w:t>
            </w:r>
          </w:p>
        </w:tc>
        <w:tc>
          <w:tcPr>
            <w:shd w:fill="FFFFFF" w:val="clear"/>
          </w:tcPr>
          <w:p>
            <w:r>
              <w:rPr>
                <w:rFonts w:ascii="Times New Roman" w:cs="Times New Roman" w:eastAsia="Times New Roman" w:hAnsi="Times New Roman"/>
                <w:color w:val="1F2937"/>
                <w:sz w:val="22"/>
                <w:szCs w:val="22"/>
              </w:rPr>
              <w:t xml:space="preserve">Crises récurrentes sans comportement compensatoire · 3+ caractéristiques (rapidité, inconfort physique, culpabilité, honte) · ≥ 1/semaine, 6 mois
Touche presque autant les hommes que les femmes ; plus souvent diagnostiqué à l'âge adulte</w:t>
            </w:r>
          </w:p>
        </w:tc>
      </w:tr>
      <w:tr>
        <w:tc>
          <w:tcPr>
            <w:shd w:fill="EEF2F7" w:val="clear"/>
          </w:tcPr>
          <w:p>
            <w:r>
              <w:rPr>
                <w:rFonts w:ascii="Times New Roman" w:cs="Times New Roman" w:eastAsia="Times New Roman" w:hAnsi="Times New Roman"/>
                <w:color w:val="1F2937"/>
                <w:sz w:val="22"/>
                <w:szCs w:val="22"/>
              </w:rPr>
              <w:t xml:space="preserve">ARFID
CIM-11 : 6B83</w:t>
            </w:r>
          </w:p>
        </w:tc>
        <w:tc>
          <w:tcPr>
            <w:shd w:fill="EEF2F7" w:val="clear"/>
          </w:tcPr>
          <w:p>
            <w:r>
              <w:rPr>
                <w:rFonts w:ascii="Times New Roman" w:cs="Times New Roman" w:eastAsia="Times New Roman" w:hAnsi="Times New Roman"/>
                <w:color w:val="1F2937"/>
                <w:sz w:val="22"/>
                <w:szCs w:val="22"/>
              </w:rPr>
              <w:t xml:space="preserve">Évitement/restriction de l'apport alimentaire non lié à l'image corporelle · Profil sensoriel, peur de s'étouffer, manque d'intérêt
Nouveau en CIM-11 : accès au soin facilité · 60 % masculin, 3,2 % de la population française</w:t>
            </w:r>
          </w:p>
        </w:tc>
      </w:tr>
      <w:tr>
        <w:tc>
          <w:tcPr>
            <w:shd w:fill="FFFFFF" w:val="clear"/>
          </w:tcPr>
          <w:p>
            <w:r>
              <w:rPr>
                <w:rFonts w:ascii="Times New Roman" w:cs="Times New Roman" w:eastAsia="Times New Roman" w:hAnsi="Times New Roman"/>
                <w:color w:val="1F2937"/>
                <w:sz w:val="22"/>
                <w:szCs w:val="22"/>
              </w:rPr>
              <w:t xml:space="preserve">Pica / Rumination</w:t>
            </w:r>
          </w:p>
        </w:tc>
        <w:tc>
          <w:tcPr>
            <w:shd w:fill="FFFFFF" w:val="clear"/>
          </w:tcPr>
          <w:p>
            <w:r>
              <w:rPr>
                <w:rFonts w:ascii="Times New Roman" w:cs="Times New Roman" w:eastAsia="Times New Roman" w:hAnsi="Times New Roman"/>
                <w:color w:val="1F2937"/>
                <w:sz w:val="22"/>
                <w:szCs w:val="22"/>
              </w:rPr>
              <w:t xml:space="preserve">Ingestion de substances non alimentaires (pica) ou régurgitation répétée sans dégoût (rumination) · Peuvent coexister avec d'autres TCA ou le TSA</w:t>
            </w:r>
          </w:p>
        </w:tc>
      </w:tr>
    </w:tbl>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3. Épidémiologie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Anorexie mentale : 0,6 % de la population adulte, 85 % des cas débutent entre 15 et 25 ans, sex-ratio féminin nettement dominant.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Boulimie nerveuse : 1,5 % des femmes, 0,5 % des hommes ; début typique à l'adolescence (10-19 ans).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Hyperphagie boulimique : 3-5 % de la population, quasi-parité homme/femme.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ARFID : 3,2 % de la population française, 5,1 % des enfants de 2-7 ans.</w:t>
      </w:r>
    </w:p>
    <w:p>
      <w:pPr>
        <w:spacing w:after="80" w:before="80"/>
      </w:pPr>
      <w:r>
        <w:rPr>
          <w:rFonts w:ascii="Times New Roman" w:cs="Times New Roman" w:eastAsia="Times New Roman" w:hAnsi="Times New Roman"/>
          <w:b w:val="false"/>
          <w:bCs w:val="false"/>
          <w:i/>
          <w:iCs/>
          <w:color w:val="1F2937"/>
          <w:sz w:val="22"/>
          <w:szCs w:val="22"/>
        </w:rPr>
        <w:t xml:space="preserve">Incidence : 8-12 cas/100 000 pour l'anorexie mentale sur la vie entière ; 12 cas/100 000 pour la boulimie nerveuse (données ARS Île-de-France / IFEMDR).</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4. Modèle biopsychosocial</w:t>
      </w:r>
    </w:p>
    <w:p>
      <w:pPr>
        <w:shd w:fill="F3F4F6" w:val="clear"/>
        <w:spacing w:after="120" w:before="120"/>
        <w:ind w:left="431" w:right="431"/>
      </w:pPr>
      <w:r>
        <w:rPr>
          <w:rFonts w:ascii="Times New Roman" w:cs="Times New Roman" w:eastAsia="Times New Roman" w:hAnsi="Times New Roman"/>
          <w:i/>
          <w:iCs/>
          <w:color w:val="1B3A6B"/>
          <w:sz w:val="22"/>
          <w:szCs w:val="22"/>
        </w:rPr>
        <w:t xml:space="preserve">Les TCA sont multifactoriels. Aucun facteur isolé n'est causal : c'est l'interaction entre vulnérabilités biologiques, psychologiques et pressions socioculturelles qui ouvre la fenêtre de risque.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Facteurs biologiques : composante génétique (~50 % pour l'anorexie) ; dérégulations dopaminergiques et sérotoninergiques ; modifications du circuit de la récompense.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Facteurs psychologiques : faible estime de soi, perfectionnisme, alexithymie, difficulté de régulation émotionnelle, antécédents traumatiques, schémas cognitifs dysfonctionnels (dysmorphophobie).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Facteurs socioculturels : idéal de minceur véhiculé par les médias et les réseaux sociaux, pression des pairs, environnement familial (dynamiques enmeshées ou distantes, comportements alimentaires parentaux).</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5. Comorbidités psychiatriques fréquentes</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TCA rarement s'expriment de façon isolée. Les comorbidités les plus documentées sont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Troubles anxieux (dont TOC) et troubles de l'humeur (dépression, bipolarité)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Troubles de la personnalité, notamment borderline (cf. leçon 8)</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TSA : risque élevé de TCA chez les femmes autistes, avec masquage diagnostique fréquent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Troubles addictifs, conduites de coupure (automutilation)</w:t>
      </w:r>
    </w:p>
    <w:p>
      <w:pPr>
        <w:spacing w:after="80" w:before="80"/>
      </w:pPr>
      <w:r>
        <w:rPr>
          <w:rFonts w:ascii="Times New Roman" w:cs="Times New Roman" w:eastAsia="Times New Roman" w:hAnsi="Times New Roman"/>
          <w:b w:val="false"/>
          <w:bCs w:val="false"/>
          <w:i/>
          <w:iCs/>
          <w:color w:val="1F2937"/>
          <w:sz w:val="22"/>
          <w:szCs w:val="22"/>
        </w:rPr>
        <w:t xml:space="preserve">Cette co-occurrence explique la complexité des prises en charge et la nécessité d'une évaluation pluridisciplinaire.</w:t>
      </w:r>
    </w:p>
    <w:p>
      <w:pPr>
        <w:pBdr>
          <w:bottom w:val="single" w:color="1B3A6B" w:sz="6"/>
        </w:pBdr>
        <w:spacing w:after="200" w:before="200"/>
      </w:pPr>
    </w:p>
    <w:p>
      <w:pPr>
        <w:pStyle w:val="Heading2"/>
        <w:spacing w:after="120" w:before="280"/>
      </w:pPr>
      <w:r>
        <w:rPr>
          <w:rFonts w:ascii="Times New Roman" w:cs="Times New Roman" w:eastAsia="Times New Roman" w:hAnsi="Times New Roman"/>
          <w:b/>
          <w:bCs/>
          <w:color w:val="1B3A6B"/>
          <w:sz w:val="30"/>
          <w:szCs w:val="30"/>
        </w:rPr>
        <w:t xml:space="preserve">🛠️ Pratique (80 %) —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Cartographie clinique (compréhension active)</w:t>
      </w:r>
    </w:p>
    <w:p>
      <w:pPr>
        <w:spacing w:after="80" w:before="80"/>
      </w:pPr>
      <w:r>
        <w:rPr>
          <w:rFonts w:ascii="Times New Roman" w:cs="Times New Roman" w:eastAsia="Times New Roman" w:hAnsi="Times New Roman"/>
          <w:b w:val="false"/>
          <w:bCs w:val="false"/>
          <w:i w:val="false"/>
          <w:iCs w:val="false"/>
          <w:color w:val="1F2937"/>
          <w:sz w:val="22"/>
          <w:szCs w:val="22"/>
        </w:rPr>
        <w:t xml:space="preserve">Objectif : ancrer les critères de chaque TCA dans une structure mémorable.</w:t>
      </w:r>
    </w:p>
    <w:p>
      <w:pPr>
        <w:spacing w:after="100" w:before="100"/>
      </w:pPr>
    </w:p>
    <w:p>
      <w:pPr>
        <w:spacing w:after="80" w:before="80"/>
      </w:pPr>
      <w:r>
        <w:rPr>
          <w:rFonts w:ascii="Times New Roman" w:cs="Times New Roman" w:eastAsia="Times New Roman" w:hAnsi="Times New Roman"/>
          <w:b w:val="false"/>
          <w:bCs w:val="false"/>
          <w:i w:val="false"/>
          <w:iCs w:val="false"/>
          <w:color w:val="1F2937"/>
          <w:sz w:val="22"/>
          <w:szCs w:val="22"/>
        </w:rPr>
        <w:t xml:space="preserve">À faire : complète le tableau suivant SANS regarder la théorie. Si tu bloques sur un critère, note une question et reviens à la partie théorie.</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1B3A6B" w:val="clear"/>
            <w:vAlign w:val="center"/>
          </w:tcPr>
          <w:p>
            <w:r>
              <w:rPr>
                <w:rFonts w:ascii="Times New Roman" w:cs="Times New Roman" w:eastAsia="Times New Roman" w:hAnsi="Times New Roman"/>
                <w:b/>
                <w:bCs/>
                <w:color w:val="FFFFFF"/>
                <w:sz w:val="22"/>
                <w:szCs w:val="22"/>
              </w:rPr>
              <w:t xml:space="preserve">Trouble</w:t>
            </w:r>
          </w:p>
        </w:tc>
        <w:tc>
          <w:tcPr>
            <w:shd w:fill="1B3A6B" w:val="clear"/>
            <w:vAlign w:val="center"/>
          </w:tcPr>
          <w:p>
            <w:r>
              <w:rPr>
                <w:rFonts w:ascii="Times New Roman" w:cs="Times New Roman" w:eastAsia="Times New Roman" w:hAnsi="Times New Roman"/>
                <w:b/>
                <w:bCs/>
                <w:color w:val="FFFFFF"/>
                <w:sz w:val="22"/>
                <w:szCs w:val="22"/>
              </w:rPr>
              <w:t xml:space="preserve">3 critères essentiels que tu retiens (tes mots)</w:t>
            </w:r>
          </w:p>
        </w:tc>
      </w:tr>
      <w:tr>
        <w:tc>
          <w:tcPr>
            <w:shd w:fill="FFFFFF" w:val="clear"/>
          </w:tcPr>
          <w:p>
            <w:r>
              <w:rPr>
                <w:rFonts w:ascii="Times New Roman" w:cs="Times New Roman" w:eastAsia="Times New Roman" w:hAnsi="Times New Roman"/>
                <w:color w:val="1F2937"/>
                <w:sz w:val="22"/>
                <w:szCs w:val="22"/>
              </w:rPr>
              <w:t xml:space="preserve">Anorexie mentale</w:t>
            </w:r>
          </w:p>
        </w:tc>
        <w:tc>
          <w:tcPr>
            <w:shd w:fill="FFFFFF" w:val="clear"/>
          </w:tcPr>
          <w:p>
            <w:r>
              <w:rPr>
                <w:rFonts w:ascii="Times New Roman" w:cs="Times New Roman" w:eastAsia="Times New Roman" w:hAnsi="Times New Roman"/>
                <w:color w:val="1F2937"/>
                <w:sz w:val="22"/>
                <w:szCs w:val="22"/>
              </w:rPr>
              <w:t xml:space="preserve">(à compléter)</w:t>
            </w:r>
          </w:p>
        </w:tc>
      </w:tr>
      <w:tr>
        <w:tc>
          <w:tcPr>
            <w:shd w:fill="EEF2F7" w:val="clear"/>
          </w:tcPr>
          <w:p>
            <w:r>
              <w:rPr>
                <w:rFonts w:ascii="Times New Roman" w:cs="Times New Roman" w:eastAsia="Times New Roman" w:hAnsi="Times New Roman"/>
                <w:color w:val="1F2937"/>
                <w:sz w:val="22"/>
                <w:szCs w:val="22"/>
              </w:rPr>
              <w:t xml:space="preserve">Boulimie nerveuse</w:t>
            </w:r>
          </w:p>
        </w:tc>
        <w:tc>
          <w:tcPr>
            <w:shd w:fill="EEF2F7" w:val="clear"/>
          </w:tcPr>
          <w:p>
            <w:r>
              <w:rPr>
                <w:rFonts w:ascii="Times New Roman" w:cs="Times New Roman" w:eastAsia="Times New Roman" w:hAnsi="Times New Roman"/>
                <w:color w:val="1F2937"/>
                <w:sz w:val="22"/>
                <w:szCs w:val="22"/>
              </w:rPr>
              <w:t xml:space="preserve">(à compléter)</w:t>
            </w:r>
          </w:p>
        </w:tc>
      </w:tr>
      <w:tr>
        <w:tc>
          <w:tcPr>
            <w:shd w:fill="FFFFFF" w:val="clear"/>
          </w:tcPr>
          <w:p>
            <w:r>
              <w:rPr>
                <w:rFonts w:ascii="Times New Roman" w:cs="Times New Roman" w:eastAsia="Times New Roman" w:hAnsi="Times New Roman"/>
                <w:color w:val="1F2937"/>
                <w:sz w:val="22"/>
                <w:szCs w:val="22"/>
              </w:rPr>
              <w:t xml:space="preserve">Hyperphagie boulimique</w:t>
            </w:r>
          </w:p>
        </w:tc>
        <w:tc>
          <w:tcPr>
            <w:shd w:fill="FFFFFF" w:val="clear"/>
          </w:tcPr>
          <w:p>
            <w:r>
              <w:rPr>
                <w:rFonts w:ascii="Times New Roman" w:cs="Times New Roman" w:eastAsia="Times New Roman" w:hAnsi="Times New Roman"/>
                <w:color w:val="1F2937"/>
                <w:sz w:val="22"/>
                <w:szCs w:val="22"/>
              </w:rPr>
              <w:t xml:space="preserve">(à compléter)</w:t>
            </w:r>
          </w:p>
        </w:tc>
      </w:tr>
      <w:tr>
        <w:tc>
          <w:tcPr>
            <w:shd w:fill="EEF2F7" w:val="clear"/>
          </w:tcPr>
          <w:p>
            <w:r>
              <w:rPr>
                <w:rFonts w:ascii="Times New Roman" w:cs="Times New Roman" w:eastAsia="Times New Roman" w:hAnsi="Times New Roman"/>
                <w:color w:val="1F2937"/>
                <w:sz w:val="22"/>
                <w:szCs w:val="22"/>
              </w:rPr>
              <w:t xml:space="preserve">ARFID</w:t>
            </w:r>
          </w:p>
        </w:tc>
        <w:tc>
          <w:tcPr>
            <w:shd w:fill="EEF2F7" w:val="clear"/>
          </w:tcPr>
          <w:p>
            <w:r>
              <w:rPr>
                <w:rFonts w:ascii="Times New Roman" w:cs="Times New Roman" w:eastAsia="Times New Roman" w:hAnsi="Times New Roman"/>
                <w:color w:val="1F2937"/>
                <w:sz w:val="22"/>
                <w:szCs w:val="22"/>
              </w:rPr>
              <w:t xml:space="preserve">(à compléter)</w:t>
            </w:r>
          </w:p>
        </w:tc>
      </w:tr>
    </w:tbl>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Corrigé de l'exercice 1</w:t>
      </w:r>
    </w:p>
    <w:p>
      <w:pPr>
        <w:shd w:fill="F3F4F6" w:val="clear"/>
        <w:spacing w:after="120" w:before="120"/>
        <w:ind w:left="431" w:right="431"/>
      </w:pPr>
      <w:r>
        <w:rPr>
          <w:rFonts w:ascii="Times New Roman" w:cs="Times New Roman" w:eastAsia="Times New Roman" w:hAnsi="Times New Roman"/>
          <w:i/>
          <w:iCs/>
          <w:color w:val="1B3A6B"/>
          <w:sz w:val="22"/>
          <w:szCs w:val="22"/>
        </w:rPr>
        <w:t xml:space="preserve">Anorexie : (1) restriction → poids bas ; (2) peur intense du poids ; (3) perturbation de l'image corporelle — avec deux sous-types : restrictif vs boulimique-purgatif.
Boulimie : (1) crises récurrentes avec perte de contrôle ; (2) comportements compensatoires (vomissements, laxatifs, hyperactivité) ; (3) au moins 1 crise/semaine pendant 3 mois — sans poids nécessairement bas.
Hyperphagie boulimique : (1) crises récurrentes SANS comportement compensatoire ; (2) ≥ 3 caractéristiques associées (rapidité, ingestion jusqu'à inconfort, absence de faim, honte, isolement) ; (3) ≥ 1 fois/semaine pendant 6 mois.
ARFID : (1) évitement/restriction sans lien avec l'image corporelle ; (2) profil sensoriel ou peur de s'étouffer ; (3) retentissement nutritionnel, pondéral ou psychosocial.</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Exercice 2 — Vignettes cliniques différentielles</w:t>
      </w:r>
    </w:p>
    <w:p>
      <w:pPr>
        <w:spacing w:after="80" w:before="80"/>
      </w:pPr>
      <w:r>
        <w:rPr>
          <w:rFonts w:ascii="Times New Roman" w:cs="Times New Roman" w:eastAsia="Times New Roman" w:hAnsi="Times New Roman"/>
          <w:b w:val="false"/>
          <w:bCs w:val="false"/>
          <w:i w:val="false"/>
          <w:iCs w:val="false"/>
          <w:color w:val="1F2937"/>
          <w:sz w:val="22"/>
          <w:szCs w:val="22"/>
        </w:rPr>
        <w:t xml:space="preserve">Lis chaque vignette. Pour chacune : (a) nomme le trouble probable ; (b) identifie les critères DSM-5 / CIM-11 présents ; (c) signale les comorbidités possibles à explorer.</w:t>
      </w:r>
    </w:p>
    <w:p>
      <w:pPr>
        <w:spacing w:after="100" w:before="100"/>
      </w:pPr>
    </w:p>
    <w:p>
      <w:pPr>
        <w:spacing w:after="80" w:before="80"/>
      </w:pPr>
      <w:r>
        <w:rPr>
          <w:rFonts w:ascii="Times New Roman" w:cs="Times New Roman" w:eastAsia="Times New Roman" w:hAnsi="Times New Roman"/>
          <w:b/>
          <w:bCs/>
          <w:i w:val="false"/>
          <w:iCs w:val="false"/>
          <w:color w:val="1F2937"/>
          <w:sz w:val="22"/>
          <w:szCs w:val="22"/>
        </w:rPr>
        <w:t xml:space="preserve">Vignette A — Léa, 17 ans</w:t>
      </w:r>
    </w:p>
    <w:p>
      <w:pPr>
        <w:shd w:fill="F3F4F6" w:val="clear"/>
        <w:spacing w:after="120" w:before="120"/>
        <w:ind w:left="431" w:right="431"/>
      </w:pPr>
      <w:r>
        <w:rPr>
          <w:rFonts w:ascii="Times New Roman" w:cs="Times New Roman" w:eastAsia="Times New Roman" w:hAnsi="Times New Roman"/>
          <w:i/>
          <w:iCs/>
          <w:color w:val="1B3A6B"/>
          <w:sz w:val="22"/>
          <w:szCs w:val="22"/>
        </w:rPr>
        <w:t xml:space="preserve">Léa a perdu 12 kg en 6 mois. Elle mange très peu, refuse les repas en famille, fait 1h30 de sport par jour. Elle dit que son corps est « dégueulasse » alors que son IMC est à 15. Ses règles ont disparu il y a 4 mois. Elle nie tout problème.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Trouble probable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Critères présents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Comorbidités à explorer : …</w:t>
      </w:r>
    </w:p>
    <w:p>
      <w:pPr>
        <w:spacing w:after="100" w:before="100"/>
      </w:pPr>
    </w:p>
    <w:p>
      <w:pPr>
        <w:spacing w:after="80" w:before="80"/>
      </w:pPr>
      <w:r>
        <w:rPr>
          <w:rFonts w:ascii="Times New Roman" w:cs="Times New Roman" w:eastAsia="Times New Roman" w:hAnsi="Times New Roman"/>
          <w:b/>
          <w:bCs/>
          <w:i w:val="false"/>
          <w:iCs w:val="false"/>
          <w:color w:val="1F2937"/>
          <w:sz w:val="22"/>
          <w:szCs w:val="22"/>
        </w:rPr>
        <w:t xml:space="preserve">Vignette B — Marc, 34 ans</w:t>
      </w:r>
    </w:p>
    <w:p>
      <w:pPr>
        <w:shd w:fill="F3F4F6" w:val="clear"/>
        <w:spacing w:after="120" w:before="120"/>
        <w:ind w:left="431" w:right="431"/>
      </w:pPr>
      <w:r>
        <w:rPr>
          <w:rFonts w:ascii="Times New Roman" w:cs="Times New Roman" w:eastAsia="Times New Roman" w:hAnsi="Times New Roman"/>
          <w:i/>
          <w:iCs/>
          <w:color w:val="1B3A6B"/>
          <w:sz w:val="22"/>
          <w:szCs w:val="22"/>
        </w:rPr>
        <w:t xml:space="preserve">Marc se décrit comme un « gros mangeur ». Deux à trois fois par semaine, en soirée, il engloutit de grandes quantités de nourriture très rapidement, seul, jusqu'à se sentir « plein à éclater » et éprouve ensuite beaucoup de honte. Il ne se fait pas vomir et ne prend pas de laxatifs. Son IMC est à 28.</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Trouble probable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Critères présents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Comorbidités à explorer : …</w:t>
      </w:r>
    </w:p>
    <w:p>
      <w:pPr>
        <w:spacing w:after="100" w:before="100"/>
      </w:pPr>
    </w:p>
    <w:p>
      <w:pPr>
        <w:spacing w:after="80" w:before="80"/>
      </w:pPr>
      <w:r>
        <w:rPr>
          <w:rFonts w:ascii="Times New Roman" w:cs="Times New Roman" w:eastAsia="Times New Roman" w:hAnsi="Times New Roman"/>
          <w:b/>
          <w:bCs/>
          <w:i w:val="false"/>
          <w:iCs w:val="false"/>
          <w:color w:val="1F2937"/>
          <w:sz w:val="22"/>
          <w:szCs w:val="22"/>
        </w:rPr>
        <w:t xml:space="preserve">Vignette C — Emma, 22 ans (diagnostic TSA récent)</w:t>
      </w:r>
    </w:p>
    <w:p>
      <w:pPr>
        <w:shd w:fill="F3F4F6" w:val="clear"/>
        <w:spacing w:after="120" w:before="120"/>
        <w:ind w:left="431" w:right="431"/>
      </w:pPr>
      <w:r>
        <w:rPr>
          <w:rFonts w:ascii="Times New Roman" w:cs="Times New Roman" w:eastAsia="Times New Roman" w:hAnsi="Times New Roman"/>
          <w:i/>
          <w:iCs/>
          <w:color w:val="1B3A6B"/>
          <w:sz w:val="22"/>
          <w:szCs w:val="22"/>
        </w:rPr>
        <w:t xml:space="preserve">Emma a un TSA diagnostiqué à 20 ans. Elle mange depuis l'enfance uniquement des aliments d'une texture lisse, refuse tout aliment avec des morceaux ou une odeur forte. Elle a perdu 5 kg depuis un an par défaut d'apport. Elle ne parle pas de peur de grossir ni d'image corporelle.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Trouble probable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Critères présents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Comorbidités à explorer : …</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Corrigé de l'exercice 2</w:t>
      </w:r>
    </w:p>
    <w:p>
      <w:pPr>
        <w:shd w:fill="F3F4F6" w:val="clear"/>
        <w:spacing w:after="120" w:before="120"/>
        <w:ind w:left="431" w:right="431"/>
      </w:pPr>
      <w:r>
        <w:rPr>
          <w:rFonts w:ascii="Times New Roman" w:cs="Times New Roman" w:eastAsia="Times New Roman" w:hAnsi="Times New Roman"/>
          <w:i/>
          <w:iCs/>
          <w:color w:val="1B3A6B"/>
          <w:sz w:val="22"/>
          <w:szCs w:val="22"/>
        </w:rPr>
        <w:t xml:space="preserve">Vignette A — Léa : Anorexie mentale, type restrictif probablement (restriction + sport excessif), avec possible sous-type boulimique-purgatif à explorer. Critères : restriction → IMC &lt; 17,5, peur intense de prendre du poids, perturbation de l'image corporelle, déni. L'aménorrhée est une complication somatique (critère supprimé du DSM-5-TR mais toujours cliniquement significative). Comorbidités à explorer : dépression, anxiété, traits TOC (sport compulsif), traits de personnalité perfectionniste.
Vignette B — Marc : Hyperphagie boulimique (BED). Critères présents : crises récurrentes (2-3/semaine), rapidité, ingestion jusqu'à inconfort physique, honte, isolement. ABSENCE de comportements compensatoires — critère différentiel clé d'avec la boulimie. Comorbidités à explorer : dépression, trouble anxieux, syndrome métabolique.
Vignette C — Emma : ARFID. Critères : restriction non liée à l'image corporelle, profil sensoriel prédominant (textures, odeurs), retentissement pondéral. Lien TSA : l'hypersensibilité sensorielle est une caractéristique centrale du TSA (leçon 9). Important : ne pas confondre l'ARFID lié au TSA avec une anorexie — l'intervention est radicalement différente.</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Exercice 3 — Analyse du modèle biopsychosocial (réflexion personnelle)</w:t>
      </w:r>
    </w:p>
    <w:p>
      <w:pPr>
        <w:spacing w:after="80" w:before="80"/>
      </w:pPr>
      <w:r>
        <w:rPr>
          <w:rFonts w:ascii="Times New Roman" w:cs="Times New Roman" w:eastAsia="Times New Roman" w:hAnsi="Times New Roman"/>
          <w:b w:val="false"/>
          <w:bCs w:val="false"/>
          <w:i w:val="false"/>
          <w:iCs w:val="false"/>
          <w:color w:val="1F2937"/>
          <w:sz w:val="22"/>
          <w:szCs w:val="22"/>
        </w:rPr>
        <w:t xml:space="preserve">Pour l'une des trois vignettes de l'exercice 2, construis une carte des facteurs de risque en mobilisant le modèle biopsychosocial. Structure ton analyse en trois colonnes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1B3A6B" w:val="clear"/>
            <w:vAlign w:val="center"/>
          </w:tcPr>
          <w:p>
            <w:r>
              <w:rPr>
                <w:rFonts w:ascii="Times New Roman" w:cs="Times New Roman" w:eastAsia="Times New Roman" w:hAnsi="Times New Roman"/>
                <w:b/>
                <w:bCs/>
                <w:color w:val="FFFFFF"/>
                <w:sz w:val="22"/>
                <w:szCs w:val="22"/>
              </w:rPr>
              <w:t xml:space="preserve">Facteurs biologiques</w:t>
            </w:r>
          </w:p>
        </w:tc>
        <w:tc>
          <w:tcPr>
            <w:shd w:fill="1B3A6B" w:val="clear"/>
            <w:vAlign w:val="center"/>
          </w:tcPr>
          <w:p>
            <w:r>
              <w:rPr>
                <w:rFonts w:ascii="Times New Roman" w:cs="Times New Roman" w:eastAsia="Times New Roman" w:hAnsi="Times New Roman"/>
                <w:b/>
                <w:bCs/>
                <w:color w:val="FFFFFF"/>
                <w:sz w:val="22"/>
                <w:szCs w:val="22"/>
              </w:rPr>
              <w:t xml:space="preserve">Facteurs psychologiques</w:t>
            </w:r>
          </w:p>
        </w:tc>
      </w:tr>
      <w:tr>
        <w:tc>
          <w:tcPr>
            <w:shd w:fill="FFFFFF" w:val="clear"/>
          </w:tcPr>
          <w:p>
            <w:r>
              <w:rPr>
                <w:rFonts w:ascii="Times New Roman" w:cs="Times New Roman" w:eastAsia="Times New Roman" w:hAnsi="Times New Roman"/>
                <w:color w:val="1F2937"/>
                <w:sz w:val="22"/>
                <w:szCs w:val="22"/>
              </w:rPr>
              <w:t xml:space="preserve">(hypothèses à formuler)</w:t>
            </w:r>
          </w:p>
        </w:tc>
        <w:tc>
          <w:tcPr>
            <w:shd w:fill="FFFFFF" w:val="clear"/>
          </w:tcPr>
          <w:p>
            <w:r>
              <w:rPr>
                <w:rFonts w:ascii="Times New Roman" w:cs="Times New Roman" w:eastAsia="Times New Roman" w:hAnsi="Times New Roman"/>
                <w:color w:val="1F2937"/>
                <w:sz w:val="22"/>
                <w:szCs w:val="22"/>
              </w:rPr>
              <w:t xml:space="preserve">(hypothèses à formuler)</w:t>
            </w:r>
          </w:p>
        </w:tc>
      </w:tr>
    </w:tbl>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1B3A6B" w:val="clear"/>
            <w:vAlign w:val="center"/>
          </w:tcPr>
          <w:p>
            <w:r>
              <w:rPr>
                <w:rFonts w:ascii="Times New Roman" w:cs="Times New Roman" w:eastAsia="Times New Roman" w:hAnsi="Times New Roman"/>
                <w:b/>
                <w:bCs/>
                <w:color w:val="FFFFFF"/>
                <w:sz w:val="22"/>
                <w:szCs w:val="22"/>
              </w:rPr>
              <w:t xml:space="preserve">Facteurs socioculturels</w:t>
            </w:r>
          </w:p>
        </w:tc>
        <w:tc>
          <w:tcPr>
            <w:shd w:fill="1B3A6B" w:val="clear"/>
            <w:vAlign w:val="center"/>
          </w:tcPr>
          <w:p>
            <w:r>
              <w:rPr>
                <w:rFonts w:ascii="Times New Roman" w:cs="Times New Roman" w:eastAsia="Times New Roman" w:hAnsi="Times New Roman"/>
                <w:b/>
                <w:bCs/>
                <w:color w:val="FFFFFF"/>
                <w:sz w:val="22"/>
                <w:szCs w:val="22"/>
              </w:rPr>
              <w:t xml:space="preserve">Point de vigilance clinique</w:t>
            </w:r>
          </w:p>
        </w:tc>
      </w:tr>
      <w:tr>
        <w:tc>
          <w:tcPr>
            <w:shd w:fill="FFFFFF" w:val="clear"/>
          </w:tcPr>
          <w:p>
            <w:r>
              <w:rPr>
                <w:rFonts w:ascii="Times New Roman" w:cs="Times New Roman" w:eastAsia="Times New Roman" w:hAnsi="Times New Roman"/>
                <w:color w:val="1F2937"/>
                <w:sz w:val="22"/>
                <w:szCs w:val="22"/>
              </w:rPr>
              <w:t xml:space="preserve">(hypothèses à formuler)</w:t>
            </w:r>
          </w:p>
        </w:tc>
        <w:tc>
          <w:tcPr>
            <w:shd w:fill="FFFFFF" w:val="clear"/>
          </w:tcPr>
          <w:p>
            <w:r>
              <w:rPr>
                <w:rFonts w:ascii="Times New Roman" w:cs="Times New Roman" w:eastAsia="Times New Roman" w:hAnsi="Times New Roman"/>
                <w:color w:val="1F2937"/>
                <w:sz w:val="22"/>
                <w:szCs w:val="22"/>
              </w:rPr>
              <w:t xml:space="preserve">(à noter)</w:t>
            </w:r>
          </w:p>
        </w:tc>
      </w:tr>
    </w:tbl>
    <w:p>
      <w:pPr>
        <w:spacing w:after="100" w:before="100"/>
      </w:pPr>
    </w:p>
    <w:p>
      <w:pPr>
        <w:spacing w:after="80" w:before="80"/>
      </w:pPr>
      <w:r>
        <w:rPr>
          <w:rFonts w:ascii="Times New Roman" w:cs="Times New Roman" w:eastAsia="Times New Roman" w:hAnsi="Times New Roman"/>
          <w:b w:val="false"/>
          <w:bCs w:val="false"/>
          <w:i w:val="false"/>
          <w:iCs w:val="false"/>
          <w:color w:val="1F2937"/>
          <w:sz w:val="22"/>
          <w:szCs w:val="22"/>
        </w:rPr>
        <w:t xml:space="preserve">Réflexion associée : comment ce modèle oriente-t-il la prise en charge ? Quels acteurs impliquer en priorité ?</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Corrigé indicatif de l'exercice 3 (Vignette A — Léa)</w:t>
      </w:r>
    </w:p>
    <w:p>
      <w:pPr>
        <w:shd w:fill="F3F4F6" w:val="clear"/>
        <w:spacing w:after="120" w:before="120"/>
        <w:ind w:left="431" w:right="431"/>
      </w:pPr>
      <w:r>
        <w:rPr>
          <w:rFonts w:ascii="Times New Roman" w:cs="Times New Roman" w:eastAsia="Times New Roman" w:hAnsi="Times New Roman"/>
          <w:i/>
          <w:iCs/>
          <w:color w:val="1B3A6B"/>
          <w:sz w:val="22"/>
          <w:szCs w:val="22"/>
        </w:rPr>
        <w:t xml:space="preserve">Facteurs biologiques : prédisposition génétique possible (antécédents familiaux à explorer), modifications sérotoninergiques et dopaminergiques, aménorrhée secondaire.
Facteurs psychologiques : perfectionnisme, faible estime de soi, déni du trouble, alexithymie possible, rapport au corps altéré.
Facteurs socioculturels : idéal de minceur, pression de performance scolaire, dynamiques familiales autour des repas à explorer.
Point de vigilance : l'alliance thérapeutique est difficile avec l'anorexie en raison du déni. La HAS insiste sur la construction d'une alliance progressive et non confrontationnelle. L'hospitalisation peut être nécessaire selon les critères de sévérité (IMC &lt; 14, défaillance somatique).</w:t>
      </w:r>
    </w:p>
    <w:p>
      <w:pPr>
        <w:pBdr>
          <w:bottom w:val="single" w:color="1B3A6B" w:sz="6"/>
        </w:pBdr>
        <w:spacing w:after="200" w:before="200"/>
      </w:pPr>
    </w:p>
    <w:p>
      <w:pPr>
        <w:pStyle w:val="Heading2"/>
        <w:spacing w:after="120" w:before="280"/>
      </w:pPr>
      <w:r>
        <w:rPr>
          <w:rFonts w:ascii="Times New Roman" w:cs="Times New Roman" w:eastAsia="Times New Roman" w:hAnsi="Times New Roman"/>
          <w:b/>
          <w:bCs/>
          <w:color w:val="1B3A6B"/>
          <w:sz w:val="30"/>
          <w:szCs w:val="30"/>
        </w:rPr>
        <w:t xml:space="preserve">🎯 Challenge — Synthèse intégrative</w:t>
      </w:r>
    </w:p>
    <w:p>
      <w:pPr>
        <w:spacing w:after="80" w:before="80"/>
      </w:pPr>
      <w:r>
        <w:rPr>
          <w:rFonts w:ascii="Times New Roman" w:cs="Times New Roman" w:eastAsia="Times New Roman" w:hAnsi="Times New Roman"/>
          <w:b w:val="false"/>
          <w:bCs w:val="false"/>
          <w:i w:val="false"/>
          <w:iCs w:val="false"/>
          <w:color w:val="1F2937"/>
          <w:sz w:val="22"/>
          <w:szCs w:val="22"/>
        </w:rPr>
        <w:t xml:space="preserve">Un professionnel de ton équipe te dit, à propos d'un résident qui mange peu et paraît amaigri : « Il fait ça pour attirer l'attention, c'est comportemental. »</w:t>
      </w:r>
    </w:p>
    <w:p>
      <w:pPr>
        <w:spacing w:after="100" w:before="100"/>
      </w:pPr>
    </w:p>
    <w:p>
      <w:pPr>
        <w:spacing w:after="80" w:before="80"/>
      </w:pPr>
      <w:r>
        <w:rPr>
          <w:rFonts w:ascii="Times New Roman" w:cs="Times New Roman" w:eastAsia="Times New Roman" w:hAnsi="Times New Roman"/>
          <w:b w:val="false"/>
          <w:bCs w:val="false"/>
          <w:i w:val="false"/>
          <w:iCs w:val="false"/>
          <w:color w:val="1F2937"/>
          <w:sz w:val="22"/>
          <w:szCs w:val="22"/>
        </w:rPr>
        <w:t xml:space="preserve">En mobilisant l'ensemble de la leçon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 ce que cette formulation révèle comme biais cognitif et comme risque clinique.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Formule une réponse non stigmatisante à destination du professionnel, adaptée à ton rôle de chef de service.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Décris les étapes d'un signalement interne et d'une orientation vers une évaluation spécialisée dans ton contexte ESSMS.</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Éléments de réponse attendus</w:t>
      </w:r>
    </w:p>
    <w:p>
      <w:pPr>
        <w:shd w:fill="F3F4F6" w:val="clear"/>
        <w:spacing w:after="120" w:before="120"/>
        <w:ind w:left="431" w:right="431"/>
      </w:pPr>
      <w:r>
        <w:rPr>
          <w:rFonts w:ascii="Times New Roman" w:cs="Times New Roman" w:eastAsia="Times New Roman" w:hAnsi="Times New Roman"/>
          <w:i/>
          <w:iCs/>
          <w:color w:val="1B3A6B"/>
          <w:sz w:val="22"/>
          <w:szCs w:val="22"/>
        </w:rPr>
        <w:t xml:space="preserve">Le biais identifié est une attribution intentionnelle et caractérielle ("pour attirer l'attention") là où un TCA est un trouble psychiatrique multifactoriel. Ce biais génère deux risques : (1) minimisation et retard de prise en charge ; (2) stigmatisation de la personne accompagnée.
Réponse au professionnel : reformuler sans invalider ("Je comprends ce que tu observes"), réintroduire le registre clinique ("ce qu'on observe ressemble à des signes qui méritent une évaluation médicale"), rappeler la limite de rôle ("nous ne diagnostiquons pas, mais nous observons et orientons").
Orientation : signalement au médecin coordinateur ou au psychiatre référent → évaluation somatique et nutritionnelle → orientation vers une structure spécialisée TCA si nécessaire. Tracer l'information dans le DUI (ici : Imago). La démarche s'inscrit dans les recommandations HAS sur la prise en charge multidisciplinaire.</w:t>
      </w:r>
    </w:p>
    <w:p>
      <w:pPr>
        <w:pBdr>
          <w:bottom w:val="single" w:color="1B3A6B" w:sz="6"/>
        </w:pBdr>
        <w:spacing w:after="200" w:before="200"/>
      </w:pPr>
    </w:p>
    <w:p>
      <w:pPr>
        <w:pStyle w:val="Heading2"/>
        <w:spacing w:after="120" w:before="280"/>
      </w:pPr>
      <w:r>
        <w:rPr>
          <w:rFonts w:ascii="Times New Roman" w:cs="Times New Roman" w:eastAsia="Times New Roman" w:hAnsi="Times New Roman"/>
          <w:b/>
          <w:bCs/>
          <w:color w:val="1B3A6B"/>
          <w:sz w:val="30"/>
          <w:szCs w:val="30"/>
        </w:rPr>
        <w:t xml:space="preserve">🌉 Pont pro (chef de service ESSMS)</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TCA chez les adultes accompagnés en foyer d'hébergement (handicap mental et psychique) sont souvent sous-repérés, car les comportements alimentaires atypiques peuvent être confondus avec des effets des traitements psychotropes ou avec des rigidités comportementales liées au TSA ou à la déficience intellectuelle. Deux points pratiques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Former les équipes à observer (et tracer dans le DUI) : prise de poids ou perte inexpliquée, refus alimentaires récurrents, comportements après les repas (isolement, présence dans les sanitaires), signes somatiques (fatigue, cheveux cassants, œdèmes).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Positionner le rôle de l'équipe éducative clairement : observation, traçabilité, lien avec l'équipe médicale et la famille — jamais de commentaire sur le poids ou l'apparence corporelle.</w:t>
      </w:r>
    </w:p>
    <w:p>
      <w:pPr>
        <w:pBdr>
          <w:bottom w:val="single" w:color="1B3A6B" w:sz="6"/>
        </w:pBdr>
        <w:spacing w:after="200" w:before="200"/>
      </w:pPr>
    </w:p>
    <w:p>
      <w:pPr>
        <w:pStyle w:val="Heading2"/>
        <w:spacing w:after="120" w:before="280"/>
      </w:pPr>
      <w:r>
        <w:rPr>
          <w:rFonts w:ascii="Times New Roman" w:cs="Times New Roman" w:eastAsia="Times New Roman" w:hAnsi="Times New Roman"/>
          <w:b/>
          <w:bCs/>
          <w:color w:val="1B3A6B"/>
          <w:sz w:val="30"/>
          <w:szCs w:val="30"/>
        </w:rPr>
        <w:t xml:space="preserve">📚 Ressources pour approfondir</w:t>
      </w:r>
    </w:p>
    <w:p>
      <w:pPr>
        <w:spacing w:after="80" w:before="80"/>
      </w:pPr>
      <w:r>
        <w:rPr>
          <w:rFonts w:ascii="Times New Roman" w:cs="Times New Roman" w:eastAsia="Times New Roman" w:hAnsi="Times New Roman"/>
          <w:b w:val="false"/>
          <w:bCs w:val="false"/>
          <w:i w:val="false"/>
          <w:iCs w:val="false"/>
          <w:color w:val="1F2937"/>
          <w:sz w:val="22"/>
          <w:szCs w:val="22"/>
        </w:rPr>
        <w:t xml:space="preserve">Sources consultées et vérifiées pendant cette leçon (toutes en 200 au moment de la vérification) :</w:t>
      </w:r>
    </w:p>
    <w:p>
      <w:pPr>
        <w:spacing w:after="100" w:before="100"/>
      </w:pPr>
    </w:p>
    <w:p>
      <w:pPr>
        <w:spacing w:after="80" w:before="80"/>
      </w:pPr>
      <w:r>
        <w:rPr>
          <w:rFonts w:ascii="Times New Roman" w:cs="Times New Roman" w:eastAsia="Times New Roman" w:hAnsi="Times New Roman"/>
          <w:b/>
          <w:bCs/>
          <w:color w:val="1F2937"/>
          <w:sz w:val="22"/>
          <w:szCs w:val="22"/>
        </w:rPr>
        <w:t xml:space="preserve">1. HAS (2010) — </w:t>
      </w:r>
      <w:hyperlink w:history="1" r:id="rIds0ghwpu_d4o1cxylmgvlt">
        <w:r>
          <w:rPr>
            <w:rStyle w:val="Hyperlink"/>
            <w:rFonts w:ascii="Times New Roman" w:cs="Times New Roman" w:eastAsia="Times New Roman" w:hAnsi="Times New Roman"/>
            <w:color w:val="1155CC"/>
            <w:sz w:val="22"/>
            <w:szCs w:val="22"/>
            <w:u w:val="single"/>
          </w:rPr>
          <w:t xml:space="preserve">Anorexie mentale : prise en charge</w:t>
        </w:r>
      </w:hyperlink>
      <w:r>
        <w:rPr>
          <w:rFonts w:ascii="Times New Roman" w:cs="Times New Roman" w:eastAsia="Times New Roman" w:hAnsi="Times New Roman"/>
          <w:color w:val="1F2937"/>
          <w:sz w:val="22"/>
          <w:szCs w:val="22"/>
        </w:rPr>
        <w:t xml:space="preserve"> — recommandation de référence (dépistage précoce, alliance thérapeutique, critères d'hospitalisation).</w:t>
      </w:r>
    </w:p>
    <w:p>
      <w:pPr>
        <w:spacing w:after="80" w:before="80"/>
      </w:pPr>
      <w:r>
        <w:rPr>
          <w:rFonts w:ascii="Times New Roman" w:cs="Times New Roman" w:eastAsia="Times New Roman" w:hAnsi="Times New Roman"/>
          <w:b/>
          <w:bCs/>
          <w:color w:val="1F2937"/>
          <w:sz w:val="22"/>
          <w:szCs w:val="22"/>
        </w:rPr>
        <w:t xml:space="preserve">2. HAS (2019) — </w:t>
      </w:r>
      <w:hyperlink w:history="1" r:id="rId0bis6j1nxcudcp8clgbse">
        <w:r>
          <w:rPr>
            <w:rStyle w:val="Hyperlink"/>
            <w:rFonts w:ascii="Times New Roman" w:cs="Times New Roman" w:eastAsia="Times New Roman" w:hAnsi="Times New Roman"/>
            <w:color w:val="1155CC"/>
            <w:sz w:val="22"/>
            <w:szCs w:val="22"/>
            <w:u w:val="single"/>
          </w:rPr>
          <w:t xml:space="preserve">Boulimie et hyperphagie boulimique : repérage et éléments généraux de prise en charge</w:t>
        </w:r>
      </w:hyperlink>
      <w:r>
        <w:rPr>
          <w:rFonts w:ascii="Times New Roman" w:cs="Times New Roman" w:eastAsia="Times New Roman" w:hAnsi="Times New Roman"/>
          <w:color w:val="1F2937"/>
          <w:sz w:val="22"/>
          <w:szCs w:val="22"/>
        </w:rPr>
        <w:t xml:space="preserve"> — complète la recommandation anorexie, 8 outils pratiques.</w:t>
      </w:r>
    </w:p>
    <w:p>
      <w:pPr>
        <w:spacing w:after="80" w:before="80"/>
      </w:pPr>
      <w:r>
        <w:rPr>
          <w:rFonts w:ascii="Times New Roman" w:cs="Times New Roman" w:eastAsia="Times New Roman" w:hAnsi="Times New Roman"/>
          <w:b/>
          <w:bCs/>
          <w:color w:val="1F2937"/>
          <w:sz w:val="22"/>
          <w:szCs w:val="22"/>
        </w:rPr>
        <w:t xml:space="preserve">3. Wikipédia FR — </w:t>
      </w:r>
      <w:hyperlink w:history="1" r:id="rIdr9b1bwu0ommetkq6oiw2a">
        <w:r>
          <w:rPr>
            <w:rStyle w:val="Hyperlink"/>
            <w:rFonts w:ascii="Times New Roman" w:cs="Times New Roman" w:eastAsia="Times New Roman" w:hAnsi="Times New Roman"/>
            <w:color w:val="1155CC"/>
            <w:sz w:val="22"/>
            <w:szCs w:val="22"/>
            <w:u w:val="single"/>
          </w:rPr>
          <w:t xml:space="preserve">Trouble des conduites alimentaires</w:t>
        </w:r>
      </w:hyperlink>
      <w:r>
        <w:rPr>
          <w:rFonts w:ascii="Times New Roman" w:cs="Times New Roman" w:eastAsia="Times New Roman" w:hAnsi="Times New Roman"/>
          <w:color w:val="1F2937"/>
          <w:sz w:val="22"/>
          <w:szCs w:val="22"/>
        </w:rPr>
        <w:t xml:space="preserve"> — panorama épidémiologique, modèles explicatifs, traitements.</w:t>
      </w:r>
    </w:p>
    <w:p>
      <w:pPr>
        <w:spacing w:after="80" w:before="80"/>
      </w:pPr>
      <w:r>
        <w:rPr>
          <w:rFonts w:ascii="Times New Roman" w:cs="Times New Roman" w:eastAsia="Times New Roman" w:hAnsi="Times New Roman"/>
          <w:b/>
          <w:bCs/>
          <w:color w:val="1F2937"/>
          <w:sz w:val="22"/>
          <w:szCs w:val="22"/>
        </w:rPr>
        <w:t xml:space="preserve">4. Wikipédia EN — </w:t>
      </w:r>
      <w:hyperlink w:history="1" r:id="rIdlypawx-wod9hi7m9epgcy">
        <w:r>
          <w:rPr>
            <w:rStyle w:val="Hyperlink"/>
            <w:rFonts w:ascii="Times New Roman" w:cs="Times New Roman" w:eastAsia="Times New Roman" w:hAnsi="Times New Roman"/>
            <w:color w:val="1155CC"/>
            <w:sz w:val="22"/>
            <w:szCs w:val="22"/>
            <w:u w:val="single"/>
          </w:rPr>
          <w:t xml:space="preserve">Eating disorder</w:t>
        </w:r>
      </w:hyperlink>
      <w:r>
        <w:rPr>
          <w:rFonts w:ascii="Times New Roman" w:cs="Times New Roman" w:eastAsia="Times New Roman" w:hAnsi="Times New Roman"/>
          <w:color w:val="1F2937"/>
          <w:sz w:val="22"/>
          <w:szCs w:val="22"/>
        </w:rPr>
        <w:t xml:space="preserve"> — données épidémiologiques internationales, DSM-5 et CIM-11, étude de cohorte 2025.</w:t>
      </w:r>
    </w:p>
    <w:p>
      <w:pPr>
        <w:spacing w:after="80" w:before="80"/>
      </w:pPr>
      <w:r>
        <w:rPr>
          <w:rFonts w:ascii="Times New Roman" w:cs="Times New Roman" w:eastAsia="Times New Roman" w:hAnsi="Times New Roman"/>
          <w:b/>
          <w:bCs/>
          <w:color w:val="1F2937"/>
          <w:sz w:val="22"/>
          <w:szCs w:val="22"/>
        </w:rPr>
        <w:t xml:space="preserve">5. IFEMDR — </w:t>
      </w:r>
      <w:hyperlink w:history="1" r:id="rIdofz9yvkiwnyscwi3hrf9h">
        <w:r>
          <w:rPr>
            <w:rStyle w:val="Hyperlink"/>
            <w:rFonts w:ascii="Times New Roman" w:cs="Times New Roman" w:eastAsia="Times New Roman" w:hAnsi="Times New Roman"/>
            <w:color w:val="1155CC"/>
            <w:sz w:val="22"/>
            <w:szCs w:val="22"/>
            <w:u w:val="single"/>
          </w:rPr>
          <w:t xml:space="preserve">Les troubles des conduites alimentaires dans le DSM-V</w:t>
        </w:r>
      </w:hyperlink>
      <w:r>
        <w:rPr>
          <w:rFonts w:ascii="Times New Roman" w:cs="Times New Roman" w:eastAsia="Times New Roman" w:hAnsi="Times New Roman"/>
          <w:color w:val="1F2937"/>
          <w:sz w:val="22"/>
          <w:szCs w:val="22"/>
        </w:rPr>
        <w:t xml:space="preserve"> — comparaison DSM-IV / DSM-5, nouveaux critères, suppression de l'aménorrhée.</w:t>
      </w:r>
    </w:p>
    <w:p>
      <w:pPr>
        <w:spacing w:after="80" w:before="80"/>
      </w:pPr>
      <w:r>
        <w:rPr>
          <w:rFonts w:ascii="Times New Roman" w:cs="Times New Roman" w:eastAsia="Times New Roman" w:hAnsi="Times New Roman"/>
          <w:b/>
          <w:bCs/>
          <w:color w:val="1F2937"/>
          <w:sz w:val="22"/>
          <w:szCs w:val="22"/>
        </w:rPr>
        <w:t xml:space="preserve">6. ARS Île-de-France — </w:t>
      </w:r>
      <w:hyperlink w:history="1" r:id="rIdimvkcndoa6lpawzineuxd">
        <w:r>
          <w:rPr>
            <w:rStyle w:val="Hyperlink"/>
            <w:rFonts w:ascii="Times New Roman" w:cs="Times New Roman" w:eastAsia="Times New Roman" w:hAnsi="Times New Roman"/>
            <w:color w:val="1155CC"/>
            <w:sz w:val="22"/>
            <w:szCs w:val="22"/>
            <w:u w:val="single"/>
          </w:rPr>
          <w:t xml:space="preserve">Troubles des conduites alimentaires : une approche pluridisciplinaire</w:t>
        </w:r>
      </w:hyperlink>
      <w:r>
        <w:rPr>
          <w:rFonts w:ascii="Times New Roman" w:cs="Times New Roman" w:eastAsia="Times New Roman" w:hAnsi="Times New Roman"/>
          <w:color w:val="1F2937"/>
          <w:sz w:val="22"/>
          <w:szCs w:val="22"/>
        </w:rPr>
        <w:t xml:space="preserve"> — organisation des soins en France, réseau TCA francilien, hôpitaux de jour.</w:t>
      </w:r>
    </w:p>
    <w:p>
      <w:pPr>
        <w:pBdr>
          <w:bottom w:val="single" w:color="1B3A6B" w:sz="6"/>
        </w:pBdr>
        <w:spacing w:after="200" w:before="200"/>
      </w:pPr>
    </w:p>
    <w:p>
      <w:pPr>
        <w:pStyle w:val="Heading2"/>
        <w:spacing w:after="120" w:before="28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b w:val="false"/>
          <w:bCs w:val="false"/>
          <w:i w:val="false"/>
          <w:iCs w:val="false"/>
          <w:color w:val="1F2937"/>
          <w:sz w:val="22"/>
          <w:szCs w:val="22"/>
        </w:rPr>
        <w:t xml:space="preserve">Leçon 11 / 20 — Addictions et troubles liés à l'usage de substances</w:t>
      </w:r>
    </w:p>
    <w:p>
      <w:pPr>
        <w:spacing w:after="80" w:before="80"/>
      </w:pPr>
      <w:r>
        <w:rPr>
          <w:rFonts w:ascii="Times New Roman" w:cs="Times New Roman" w:eastAsia="Times New Roman" w:hAnsi="Times New Roman"/>
          <w:b w:val="false"/>
          <w:bCs w:val="false"/>
          <w:i/>
          <w:iCs/>
          <w:color w:val="1F2937"/>
          <w:sz w:val="22"/>
          <w:szCs w:val="22"/>
        </w:rPr>
        <w:t xml:space="preserve">Tu aborderas : les critères DSM-5 des troubles de l'usage de substances (alcool, cannabis, opioïdes…), les modèles neurobiologiques de la dépendance (circuit de la récompense, dopamine, renforcement), les co-occurrences avec les TCA et les troubles de l'humeur, et les approches de réduction des risques mobilisables en ESSMS.</w:t>
      </w:r>
    </w:p>
    <w:p>
      <w:pPr>
        <w:spacing w:after="100" w:before="100"/>
      </w:pPr>
    </w:p>
    <w:p>
      <w:pPr>
        <w:spacing w:after="80" w:before="80"/>
      </w:pPr>
      <w:r>
        <w:rPr>
          <w:rFonts w:ascii="Times New Roman" w:cs="Times New Roman" w:eastAsia="Times New Roman" w:hAnsi="Times New Roman"/>
          <w:b/>
          <w:bCs/>
          <w:i w:val="false"/>
          <w:iCs w:val="false"/>
          <w:color w:val="1B3A6B"/>
          <w:sz w:val="22"/>
          <w:szCs w:val="22"/>
        </w:rPr>
        <w:t xml:space="preserve">— Fin de la leçon 10 / 20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0ghwpu_d4o1cxylmgvlt" Type="http://schemas.openxmlformats.org/officeDocument/2006/relationships/hyperlink" Target="https://www.has-sante.fr/jcms/c_985715/fr/anorexie-mentale-prise-en-charge" TargetMode="External"/><Relationship Id="rId0bis6j1nxcudcp8clgbse" Type="http://schemas.openxmlformats.org/officeDocument/2006/relationships/hyperlink" Target="https://www.has-sante.fr/jcms/c_2581436/fr/boulimie-et-hyperphagie-boulimique-reperage-et-elements-generaux-de-prise-en-charge" TargetMode="External"/><Relationship Id="rIdr9b1bwu0ommetkq6oiw2a" Type="http://schemas.openxmlformats.org/officeDocument/2006/relationships/hyperlink" Target="https://fr.wikipedia.org/wiki/Trouble_des_conduites_alimentaires" TargetMode="External"/><Relationship Id="rIdlypawx-wod9hi7m9epgcy" Type="http://schemas.openxmlformats.org/officeDocument/2006/relationships/hyperlink" Target="https://en.wikipedia.org/wiki/Eating_disorder" TargetMode="External"/><Relationship Id="rIdofz9yvkiwnyscwi3hrf9h" Type="http://schemas.openxmlformats.org/officeDocument/2006/relationships/hyperlink" Target="https://www.ifemdr.fr/les-troubles-des-conduites-alimentaires-dans-le-dsm-v/" TargetMode="External"/><Relationship Id="rIdimvkcndoa6lpawzineuxd" Type="http://schemas.openxmlformats.org/officeDocument/2006/relationships/hyperlink" Target="https://www.iledefrance.ars.sante.fr/troubles-des-conduites-alimentaires-une-approche-pluridisciplinaire-pour-mieux-les-comprendre-et"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2026-08-13T23:46:53.336Z</dcterms:created>
  <dcterms:modified xsi:type="dcterms:W3CDTF">2026-08-13T23:46:53.337Z</dcterms:modified>
</cp:coreProperties>
</file>

<file path=docProps/custom.xml><?xml version="1.0" encoding="utf-8"?>
<Properties xmlns="http://schemas.openxmlformats.org/officeDocument/2006/custom-properties" xmlns:vt="http://schemas.openxmlformats.org/officeDocument/2006/docPropsVTypes"/>
</file>