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6B"/>
          <w:sz w:val="52"/>
          <w:szCs w:val="52"/>
        </w:rPr>
        <w:t xml:space="preserve">Leçon Revenus passifs n°02</w:t>
      </w:r>
    </w:p>
    <w:p>
      <w:pPr>
        <w:spacing w:after="60" w:before="80"/>
        <w:jc w:val="center"/>
      </w:pPr>
      <w:r>
        <w:rPr>
          <w:rFonts w:ascii="Times New Roman" w:cs="Times New Roman" w:eastAsia="Times New Roman" w:hAnsi="Times New Roman"/>
          <w:b/>
          <w:bCs/>
          <w:color w:val="1B3A6B"/>
          <w:sz w:val="36"/>
          <w:szCs w:val="36"/>
        </w:rPr>
        <w:t xml:space="preserve">Les grandes familles de revenus passifs</w:t>
      </w:r>
    </w:p>
    <w:p>
      <w:pPr>
        <w:spacing w:after="160" w:before="40"/>
        <w:jc w:val="center"/>
      </w:pPr>
      <w:r>
        <w:rPr>
          <w:rFonts w:ascii="Times New Roman" w:cs="Times New Roman" w:eastAsia="Times New Roman" w:hAnsi="Times New Roman"/>
          <w:i/>
          <w:iCs/>
          <w:color w:val="1F2937"/>
          <w:sz w:val="22"/>
          <w:szCs w:val="22"/>
        </w:rPr>
        <w:t xml:space="preserve">Leçon 02 / 10  •  2026-08-02</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Cadre déontologique</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Ces leçons sont ÉDUCATIVES et GÉNÉRALISTES. Elles n'ont pas valeur de conseil en investissement ni de recommandation personnalisée. En France, le conseil en investissement financier est une activité réglementée (statut CIF, registre ORIAS). Aucune leçon ne dit quoi acheter, quand, ni pour quel montant, ni ne promet de rendement. Toute décision relève de ta responsabilité, le cas échéant avec un professionnel agréé.</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l'issue de cette leçon, tu sauras nommer et distinguer les quatre grandes familles de revenus passifs, comparer leurs caractéristiques selon quatre critères (capital requis, effort initial, maintenance, risque), et identifier à quelle famille appartient une proposition concrète que tu rencontres.</w:t>
      </w:r>
    </w:p>
    <w:p>
      <w:pPr>
        <w:spacing w:after="80" w:before="80"/>
      </w:pPr>
      <w:r>
        <w:rPr>
          <w:rFonts w:ascii="Times New Roman" w:cs="Times New Roman" w:eastAsia="Times New Roman" w:hAnsi="Times New Roman"/>
          <w:color w:val="1F2937"/>
          <w:sz w:val="22"/>
          <w:szCs w:val="22"/>
        </w:rPr>
        <w:t xml:space="preserve">Continuité avec la leçon 01 : en n°01 tu as déconstruit les mythes fondateurs — passif ≠ sans effort, sans capital, sans risque. Ici, on passe de la déconstruction à la cartographie : les familles et leurs paramètres réels.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 Les quatre grandes familles</w:t>
      </w:r>
    </w:p>
    <w:p>
      <w:pPr>
        <w:spacing w:after="80" w:before="80"/>
      </w:pPr>
      <w:r>
        <w:rPr>
          <w:rFonts w:ascii="Times New Roman" w:cs="Times New Roman" w:eastAsia="Times New Roman" w:hAnsi="Times New Roman"/>
          <w:b w:val="false"/>
          <w:bCs w:val="false"/>
          <w:color w:val="1F2937"/>
          <w:sz w:val="22"/>
          <w:szCs w:val="22"/>
        </w:rPr>
        <w:t xml:space="preserve">La classification retenue s'appuie sur quatre critères opérationnels : capital requis, effort initial de mise en place, niveau de maintenance (travail continu), et nature du risque principal. Ces critères permettent de comparer des modèles fondamentalement différents sur une grille commune.</w:t>
      </w:r>
    </w:p>
    <w:p>
      <w:pPr>
        <w:pStyle w:val="Heading3"/>
        <w:spacing w:after="80" w:before="200"/>
      </w:pPr>
      <w:r>
        <w:rPr>
          <w:rFonts w:ascii="Times New Roman" w:cs="Times New Roman" w:eastAsia="Times New Roman" w:hAnsi="Times New Roman"/>
          <w:b/>
          <w:bCs/>
          <w:color w:val="1F2937"/>
          <w:sz w:val="26"/>
          <w:szCs w:val="26"/>
        </w:rPr>
        <w:t xml:space="preserve">Famille 1 — Placements financiers</w:t>
      </w:r>
    </w:p>
    <w:p>
      <w:pPr>
        <w:spacing w:after="80" w:before="80"/>
      </w:pPr>
      <w:r>
        <w:rPr>
          <w:rFonts w:ascii="Times New Roman" w:cs="Times New Roman" w:eastAsia="Times New Roman" w:hAnsi="Times New Roman"/>
          <w:color w:val="1F2937"/>
          <w:sz w:val="22"/>
          <w:szCs w:val="22"/>
        </w:rPr>
        <w:t xml:space="preserve">Les placements financiers génèrent des revenus sous forme d'intérêts, de dividendes ou de plus-values. Ils se distinguent par leur liquidité (tu peux en sortir rapidement) et leur capital réglementé minimal.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A et LDDS : taux fixé par décret, capital garanti. ⚠️ Taux Livret A et LDDS : 1,7 % depuis le 1er août 2026 (source primaire : communiqué du ministère de l'Économie, presse.economie.gouv.fr). Il était de 1,5 % du 1er février au 31 juillet 2026 : c'est cette valeur périmée qui figurait dans la première version de cette leçon, reprise d'un agrégateur non mis à jour. Le taux est révisé deux fois par an (1er février et 1er août) — vérifie-le systématiquement à la date où tu calcules. Plafond Livret A : 22 950 €. Plafond LDDS : 12 000 €. Exonérés d'impôt et de prélèvements sociaux — exception notable dans la fiscalité française des revenus passifs.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ETF distribuants et actions à dividendes : revenus variables, exposés au risque de marché. Aucun rendement garanti.</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Assurance-vie (fonds en euros) : capital partiellement garanti, rendements en baisse depuis 10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Obligations : revenus fixes sous forme de coupons, sensibles aux taux d'intérêt.</w:t>
      </w:r>
    </w:p>
    <w:p>
      <w:pPr>
        <w:spacing w:after="80" w:before="80"/>
      </w:pPr>
      <w:r>
        <w:rPr>
          <w:rFonts w:ascii="Times New Roman" w:cs="Times New Roman" w:eastAsia="Times New Roman" w:hAnsi="Times New Roman"/>
          <w:color w:val="1F2937"/>
          <w:sz w:val="22"/>
          <w:szCs w:val="22"/>
        </w:rPr>
        <w:t xml:space="preserve">Fiscalité applicable (hors livrets réglementés) — source : impots.gouv.fr, page « Les revenus mobiliers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Prélèvement Forfaitaire Unique (PFU / flat tax) : 12,8 % d'impôt sur le revenu.</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Prélèvements sociaux à partir de 2026 : 18,6 % (composition : CSG 9,2 % + CRDS 0,5 % + prélèvement de solidarité 7,5 %, auxquels s'ajoutent des prélèvements portant le total à 18,6 %). Le taux était de 17,2 % jusqu'en 2025.</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PFU total 2026 : 12,8 % + 18,6 % = 31,4 %. Ce chiffre est lu sur impots.gouv.fr et confirmé par plusieurs sources secondaires.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Exception assurance-vie &gt; 8 ans et versements ≤ 150 000 € : taux réduit à 7,5 % (IR) + 18,6 % (PS).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Option barème progressif : possible (case 2OP de la déclaration), irrévocable pour l'année, potentiellement avantageuse pour les foyers faiblement imposés.</w:t>
      </w:r>
    </w:p>
    <w:p>
      <w:pPr>
        <w:pStyle w:val="Heading3"/>
        <w:spacing w:after="80" w:before="200"/>
      </w:pPr>
      <w:r>
        <w:rPr>
          <w:rFonts w:ascii="Times New Roman" w:cs="Times New Roman" w:eastAsia="Times New Roman" w:hAnsi="Times New Roman"/>
          <w:b/>
          <w:bCs/>
          <w:color w:val="1F2937"/>
          <w:sz w:val="26"/>
          <w:szCs w:val="26"/>
        </w:rPr>
        <w:t xml:space="preserve">Famille 2 — Immobilier</w:t>
      </w:r>
    </w:p>
    <w:p>
      <w:pPr>
        <w:spacing w:after="80" w:before="80"/>
      </w:pPr>
      <w:r>
        <w:rPr>
          <w:rFonts w:ascii="Times New Roman" w:cs="Times New Roman" w:eastAsia="Times New Roman" w:hAnsi="Times New Roman"/>
          <w:color w:val="1F2937"/>
          <w:sz w:val="22"/>
          <w:szCs w:val="22"/>
        </w:rPr>
        <w:t xml:space="preserve">L'immobilier est la famille la plus sollicitée et la plus commentée. Elle se décline en deux grandes branches : l'immobilier direct (bien physique) et l'immobilier indirect (SCPI, crowdfunding, foncières cotées).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Location nue (non meublée) : revenus fonciers. Régime micro-foncier si revenus bruts annuels ≤ 15 000 € (abattement forfaitaire de 30 %, source : bofip.impots.gouv.fr et impots.gouv.fr). Au-dessus de 15 000 € ou sur option : régime réel (charges déductibles). L'option régime réel est irrévocable pour 3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LMNP (Loueur en Meublé Non Professionnel) : revenus commerciaux (BIC), régime micro-BIC (abattement 50 %) ou réel avec amortissement. Régime différent des revenus fonciers.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SCPI (Sociétés Civiles de Placement Immobilier) : taux de distribution 2025, pondéré par la capitalisation et toutes catégories confondues — 4,91 %, en progression de 0,19 point sur 2024 (source primaire vérifiée : ASPIM, aspim.fr). Il varie de 4,2 % pour les SCPI résidentielles à 6 % pour les diversifiées. Capital minimum souvent autour de 1 000 €, mais investissement réaliste à partir de 5 000–20 000 € pour un flux mensuel perceptible.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Crowdfunding immobilier : rendements affichés élevés (8-12 % annoncés), mais risque de perte en capital en cas de défaut du promoteur. Classe à part — ne pas confondre avec la SCPI.</w:t>
      </w:r>
    </w:p>
    <w:p>
      <w:pPr>
        <w:spacing w:after="80" w:before="80"/>
      </w:pPr>
      <w:r>
        <w:rPr>
          <w:rFonts w:ascii="Times New Roman" w:cs="Times New Roman" w:eastAsia="Times New Roman" w:hAnsi="Times New Roman"/>
          <w:color w:val="1F2937"/>
          <w:sz w:val="22"/>
          <w:szCs w:val="22"/>
        </w:rPr>
        <w:t xml:space="preserve">Fiscalité des revenus fonciers (location nue, SCPI) : revenus s'ajoutent au revenu global soumis au barème progressif + 17,2 % de prélèvements sociaux (au titre des revenus 2025, déclarés en 2026). Note : les prélèvements sociaux sur les revenus fonciers restaient à 17,2 % pour les revenus 2025 ; vérifier sur impots.gouv.fr pour les revenus 2026.</w:t>
      </w:r>
    </w:p>
    <w:p>
      <w:pPr>
        <w:pStyle w:val="Heading3"/>
        <w:spacing w:after="80" w:before="200"/>
      </w:pPr>
      <w:r>
        <w:rPr>
          <w:rFonts w:ascii="Times New Roman" w:cs="Times New Roman" w:eastAsia="Times New Roman" w:hAnsi="Times New Roman"/>
          <w:b/>
          <w:bCs/>
          <w:color w:val="1F2937"/>
          <w:sz w:val="26"/>
          <w:szCs w:val="26"/>
        </w:rPr>
        <w:t xml:space="preserve">Famille 3 — Propriété intellectuelle</w:t>
      </w:r>
    </w:p>
    <w:p>
      <w:pPr>
        <w:spacing w:after="80" w:before="80"/>
      </w:pPr>
      <w:r>
        <w:rPr>
          <w:rFonts w:ascii="Times New Roman" w:cs="Times New Roman" w:eastAsia="Times New Roman" w:hAnsi="Times New Roman"/>
          <w:color w:val="1F2937"/>
          <w:sz w:val="22"/>
          <w:szCs w:val="22"/>
        </w:rPr>
        <w:t xml:space="preserve">Cette famille regroupe les droits d'auteur (livres, musique, logiciels), les brevets, les licences de marque, les banques de photos ou de vidéos. L'effort initial est très élevé (création) ; la maintenance dépend de la durée de vie commerciale de l'œuvre.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droits d'auteur courent pendant 70 ans après la mort de l'auteur (droit français). Mais la « durée de vie commerciale » réelle d'une œuvre est souvent beaucoup plus courte.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Revenus imposables : revenus non commerciaux (BNC) ou traitements et salaires selon le cas, avec des règles spécifiques aux artistes-auteurs.</w:t>
      </w:r>
    </w:p>
    <w:p>
      <w:pPr>
        <w:pStyle w:val="Heading3"/>
        <w:spacing w:after="80" w:before="200"/>
      </w:pPr>
      <w:r>
        <w:rPr>
          <w:rFonts w:ascii="Times New Roman" w:cs="Times New Roman" w:eastAsia="Times New Roman" w:hAnsi="Times New Roman"/>
          <w:b/>
          <w:bCs/>
          <w:color w:val="1F2937"/>
          <w:sz w:val="26"/>
          <w:szCs w:val="26"/>
        </w:rPr>
        <w:t xml:space="preserve">Famille 4 — Modèles numériques</w:t>
      </w:r>
    </w:p>
    <w:p>
      <w:pPr>
        <w:spacing w:after="80" w:before="80"/>
      </w:pPr>
      <w:r>
        <w:rPr>
          <w:rFonts w:ascii="Times New Roman" w:cs="Times New Roman" w:eastAsia="Times New Roman" w:hAnsi="Times New Roman"/>
          <w:color w:val="1F2937"/>
          <w:sz w:val="22"/>
          <w:szCs w:val="22"/>
        </w:rPr>
        <w:t xml:space="preserve">La famille la plus médiatisée, et celle dont les promesses sont les plus souvent exagérées. Elle comprend les produits numériques (ebooks, formations, templates), les contenus monétisés (blog, YouTube, podcast, affiliation), les newsletters payantes et les micro-SaaS (logiciels en ligne à abonnement).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requis : faible (hébergement, outils). Mais l'effort initial est très élevé : création de contenu, construction d'audience, référencement (SEO) — des processus qui prennent de 6 à 24 mois selon les sources secondaires consultées.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Maintenance : significative et sous-estimée. Un blog dépend d'algorithmes (Google, réseaux), une plateforme de cours nécessite mises à jour et support client, un micro-SaaS impose maintenance technique.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Dépendance aux plateformes : changement d'algorithme YouTube, fermeture d'un marketplace, modification des conditions d'affiliation Amazon — des risques structurels non maîtrisables.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Tableau comparatif des 4 familles</w:t>
      </w:r>
    </w:p>
    <w:p>
      <w:pPr>
        <w:spacing w:after="80" w:before="80"/>
      </w:pPr>
    </w:p>
    <w:tbl>
      <w:tblPr>
        <w:tblW w:type="pct" w:w="100%"/>
        <w:tblBorders>
          <w:top w:val="single" w:color="1B3A6B" w:sz="4"/>
          <w:left w:val="single" w:color="1B3A6B" w:sz="4"/>
          <w:bottom w:val="single" w:color="1B3A6B" w:sz="4"/>
          <w:right w:val="single" w:color="1B3A6B" w:sz="4"/>
          <w:insideH w:val="single" w:color="auto" w:sz="4"/>
          <w:insideV w:val="single" w:color="auto" w:sz="4"/>
        </w:tblBorders>
      </w:tblPr>
      <w:tblGrid>
        <w:gridCol w:w="100"/>
        <w:gridCol w:w="100"/>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Famille</w:t>
            </w:r>
          </w:p>
        </w:tc>
        <w:tc>
          <w:tcPr>
            <w:shd w:fill="1B3A6B" w:val="clear"/>
          </w:tcPr>
          <w:p>
            <w:r>
              <w:rPr>
                <w:rFonts w:ascii="Times New Roman" w:cs="Times New Roman" w:eastAsia="Times New Roman" w:hAnsi="Times New Roman"/>
                <w:b/>
                <w:bCs/>
                <w:color w:val="FFFFFF"/>
                <w:sz w:val="20"/>
                <w:szCs w:val="20"/>
              </w:rPr>
              <w:t xml:space="preserve">Sous-types principaux</w:t>
            </w:r>
          </w:p>
        </w:tc>
        <w:tc>
          <w:tcPr>
            <w:shd w:fill="1B3A6B" w:val="clear"/>
          </w:tcPr>
          <w:p>
            <w:r>
              <w:rPr>
                <w:rFonts w:ascii="Times New Roman" w:cs="Times New Roman" w:eastAsia="Times New Roman" w:hAnsi="Times New Roman"/>
                <w:b/>
                <w:bCs/>
                <w:color w:val="FFFFFF"/>
                <w:sz w:val="20"/>
                <w:szCs w:val="20"/>
              </w:rPr>
              <w:t xml:space="preserve">Capital requis</w:t>
            </w:r>
          </w:p>
        </w:tc>
        <w:tc>
          <w:tcPr>
            <w:shd w:fill="1B3A6B" w:val="clear"/>
          </w:tcPr>
          <w:p>
            <w:r>
              <w:rPr>
                <w:rFonts w:ascii="Times New Roman" w:cs="Times New Roman" w:eastAsia="Times New Roman" w:hAnsi="Times New Roman"/>
                <w:b/>
                <w:bCs/>
                <w:color w:val="FFFFFF"/>
                <w:sz w:val="20"/>
                <w:szCs w:val="20"/>
              </w:rPr>
              <w:t xml:space="preserve">Effort initial</w:t>
            </w:r>
          </w:p>
        </w:tc>
        <w:tc>
          <w:tcPr>
            <w:shd w:fill="1B3A6B" w:val="clear"/>
          </w:tcPr>
          <w:p>
            <w:r>
              <w:rPr>
                <w:rFonts w:ascii="Times New Roman" w:cs="Times New Roman" w:eastAsia="Times New Roman" w:hAnsi="Times New Roman"/>
                <w:b/>
                <w:bCs/>
                <w:color w:val="FFFFFF"/>
                <w:sz w:val="20"/>
                <w:szCs w:val="20"/>
              </w:rPr>
              <w:t xml:space="preserve">Maintenance</w:t>
            </w:r>
          </w:p>
        </w:tc>
        <w:tc>
          <w:tcPr>
            <w:shd w:fill="1B3A6B" w:val="clear"/>
          </w:tcPr>
          <w:p>
            <w:r>
              <w:rPr>
                <w:rFonts w:ascii="Times New Roman" w:cs="Times New Roman" w:eastAsia="Times New Roman" w:hAnsi="Times New Roman"/>
                <w:b/>
                <w:bCs/>
                <w:color w:val="FFFFFF"/>
                <w:sz w:val="20"/>
                <w:szCs w:val="20"/>
              </w:rPr>
              <w:t xml:space="preserve">Risque principal</w:t>
            </w:r>
          </w:p>
        </w:tc>
      </w:tr>
      <w:tr>
        <w:trPr>
          <w:tblHeader w:val="false"/>
        </w:trPr>
        <w:tc>
          <w:tcPr>
            <w:shd w:fill="FFFFFF" w:val="clear"/>
          </w:tcPr>
          <w:p>
            <w:r>
              <w:rPr>
                <w:rFonts w:ascii="Times New Roman" w:cs="Times New Roman" w:eastAsia="Times New Roman" w:hAnsi="Times New Roman"/>
                <w:color w:val="1F2937"/>
                <w:sz w:val="20"/>
                <w:szCs w:val="20"/>
              </w:rPr>
              <w:t xml:space="preserve">💶 Placements financiers</w:t>
            </w:r>
          </w:p>
        </w:tc>
        <w:tc>
          <w:tcPr>
            <w:shd w:fill="FFFFFF" w:val="clear"/>
          </w:tcPr>
          <w:p>
            <w:r>
              <w:rPr>
                <w:rFonts w:ascii="Times New Roman" w:cs="Times New Roman" w:eastAsia="Times New Roman" w:hAnsi="Times New Roman"/>
                <w:color w:val="1F2937"/>
                <w:sz w:val="20"/>
                <w:szCs w:val="20"/>
              </w:rPr>
              <w:t xml:space="preserve">Livret A/LDDS, fonds €, ETF distribuants, dividendes actions, assurance-vie</w:t>
            </w:r>
          </w:p>
        </w:tc>
        <w:tc>
          <w:tcPr>
            <w:shd w:fill="FFFFFF" w:val="clear"/>
          </w:tcPr>
          <w:p>
            <w:r>
              <w:rPr>
                <w:rFonts w:ascii="Times New Roman" w:cs="Times New Roman" w:eastAsia="Times New Roman" w:hAnsi="Times New Roman"/>
                <w:color w:val="1F2937"/>
                <w:sz w:val="20"/>
                <w:szCs w:val="20"/>
              </w:rPr>
              <w:t xml:space="preserve">Dès 1 €</w:t>
            </w:r>
          </w:p>
        </w:tc>
        <w:tc>
          <w:tcPr>
            <w:shd w:fill="FFFFFF" w:val="clear"/>
          </w:tcPr>
          <w:p>
            <w:r>
              <w:rPr>
                <w:rFonts w:ascii="Times New Roman" w:cs="Times New Roman" w:eastAsia="Times New Roman" w:hAnsi="Times New Roman"/>
                <w:color w:val="1F2937"/>
                <w:sz w:val="20"/>
                <w:szCs w:val="20"/>
              </w:rPr>
              <w:t xml:space="preserve">Faible (ouverture de compte)</w:t>
            </w:r>
          </w:p>
        </w:tc>
        <w:tc>
          <w:tcPr>
            <w:shd w:fill="FFFFFF" w:val="clear"/>
          </w:tcPr>
          <w:p>
            <w:r>
              <w:rPr>
                <w:rFonts w:ascii="Times New Roman" w:cs="Times New Roman" w:eastAsia="Times New Roman" w:hAnsi="Times New Roman"/>
                <w:color w:val="1F2937"/>
                <w:sz w:val="20"/>
                <w:szCs w:val="20"/>
              </w:rPr>
              <w:t xml:space="preserve">Quasi-nulle</w:t>
            </w:r>
          </w:p>
        </w:tc>
        <w:tc>
          <w:tcPr>
            <w:shd w:fill="FFFFFF" w:val="clear"/>
          </w:tcPr>
          <w:p>
            <w:r>
              <w:rPr>
                <w:rFonts w:ascii="Times New Roman" w:cs="Times New Roman" w:eastAsia="Times New Roman" w:hAnsi="Times New Roman"/>
                <w:color w:val="1F2937"/>
                <w:sz w:val="20"/>
                <w:szCs w:val="20"/>
              </w:rPr>
              <w:t xml:space="preserve">Risque marché (ETF/actions) ; risque faible pour livrets réglementés</w:t>
            </w:r>
          </w:p>
        </w:tc>
      </w:tr>
      <w:tr>
        <w:trPr>
          <w:tblHeader w:val="false"/>
        </w:trPr>
        <w:tc>
          <w:tcPr>
            <w:shd w:fill="EEF2F7" w:val="clear"/>
          </w:tcPr>
          <w:p>
            <w:r>
              <w:rPr>
                <w:rFonts w:ascii="Times New Roman" w:cs="Times New Roman" w:eastAsia="Times New Roman" w:hAnsi="Times New Roman"/>
                <w:color w:val="1F2937"/>
                <w:sz w:val="20"/>
                <w:szCs w:val="20"/>
              </w:rPr>
              <w:t xml:space="preserve">🏠 Immobilier</w:t>
            </w:r>
          </w:p>
        </w:tc>
        <w:tc>
          <w:tcPr>
            <w:shd w:fill="EEF2F7" w:val="clear"/>
          </w:tcPr>
          <w:p>
            <w:r>
              <w:rPr>
                <w:rFonts w:ascii="Times New Roman" w:cs="Times New Roman" w:eastAsia="Times New Roman" w:hAnsi="Times New Roman"/>
                <w:color w:val="1F2937"/>
                <w:sz w:val="20"/>
                <w:szCs w:val="20"/>
              </w:rPr>
              <w:t xml:space="preserve">Location nue, LMNP, SCPI, crowdfunding immo, colocation</w:t>
            </w:r>
          </w:p>
        </w:tc>
        <w:tc>
          <w:tcPr>
            <w:shd w:fill="EEF2F7" w:val="clear"/>
          </w:tcPr>
          <w:p>
            <w:r>
              <w:rPr>
                <w:rFonts w:ascii="Times New Roman" w:cs="Times New Roman" w:eastAsia="Times New Roman" w:hAnsi="Times New Roman"/>
                <w:color w:val="1F2937"/>
                <w:sz w:val="20"/>
                <w:szCs w:val="20"/>
              </w:rPr>
              <w:t xml:space="preserve">≥ 20 000 € (SCPI) à &gt; 100 k€ (bien direct)</w:t>
            </w:r>
          </w:p>
        </w:tc>
        <w:tc>
          <w:tcPr>
            <w:shd w:fill="EEF2F7" w:val="clear"/>
          </w:tcPr>
          <w:p>
            <w:r>
              <w:rPr>
                <w:rFonts w:ascii="Times New Roman" w:cs="Times New Roman" w:eastAsia="Times New Roman" w:hAnsi="Times New Roman"/>
                <w:color w:val="1F2937"/>
                <w:sz w:val="20"/>
                <w:szCs w:val="20"/>
              </w:rPr>
              <w:t xml:space="preserve">Élevé à très élevé (recherche, financement, travaux)</w:t>
            </w:r>
          </w:p>
        </w:tc>
        <w:tc>
          <w:tcPr>
            <w:shd w:fill="EEF2F7" w:val="clear"/>
          </w:tcPr>
          <w:p>
            <w:r>
              <w:rPr>
                <w:rFonts w:ascii="Times New Roman" w:cs="Times New Roman" w:eastAsia="Times New Roman" w:hAnsi="Times New Roman"/>
                <w:color w:val="1F2937"/>
                <w:sz w:val="20"/>
                <w:szCs w:val="20"/>
              </w:rPr>
              <w:t xml:space="preserve">Significative (gestion, entretien, fiscalité)</w:t>
            </w:r>
          </w:p>
        </w:tc>
        <w:tc>
          <w:tcPr>
            <w:shd w:fill="EEF2F7" w:val="clear"/>
          </w:tcPr>
          <w:p>
            <w:r>
              <w:rPr>
                <w:rFonts w:ascii="Times New Roman" w:cs="Times New Roman" w:eastAsia="Times New Roman" w:hAnsi="Times New Roman"/>
                <w:color w:val="1F2937"/>
                <w:sz w:val="20"/>
                <w:szCs w:val="20"/>
              </w:rPr>
              <w:t xml:space="preserve">Vacance locative, impayés, illiquidité</w:t>
            </w:r>
          </w:p>
        </w:tc>
      </w:tr>
      <w:tr>
        <w:trPr>
          <w:tblHeader w:val="false"/>
        </w:trPr>
        <w:tc>
          <w:tcPr>
            <w:shd w:fill="FFFFFF" w:val="clear"/>
          </w:tcPr>
          <w:p>
            <w:r>
              <w:rPr>
                <w:rFonts w:ascii="Times New Roman" w:cs="Times New Roman" w:eastAsia="Times New Roman" w:hAnsi="Times New Roman"/>
                <w:color w:val="1F2937"/>
                <w:sz w:val="20"/>
                <w:szCs w:val="20"/>
              </w:rPr>
              <w:t xml:space="preserve">📝 Propriété intellectuelle</w:t>
            </w:r>
          </w:p>
        </w:tc>
        <w:tc>
          <w:tcPr>
            <w:shd w:fill="FFFFFF" w:val="clear"/>
          </w:tcPr>
          <w:p>
            <w:r>
              <w:rPr>
                <w:rFonts w:ascii="Times New Roman" w:cs="Times New Roman" w:eastAsia="Times New Roman" w:hAnsi="Times New Roman"/>
                <w:color w:val="1F2937"/>
                <w:sz w:val="20"/>
                <w:szCs w:val="20"/>
              </w:rPr>
              <w:t xml:space="preserve">Droits d'auteur, royalties musicales, banques de photos/vidéos, brevets</w:t>
            </w:r>
          </w:p>
        </w:tc>
        <w:tc>
          <w:tcPr>
            <w:shd w:fill="FFFFFF" w:val="clear"/>
          </w:tcPr>
          <w:p>
            <w:r>
              <w:rPr>
                <w:rFonts w:ascii="Times New Roman" w:cs="Times New Roman" w:eastAsia="Times New Roman" w:hAnsi="Times New Roman"/>
                <w:color w:val="1F2937"/>
                <w:sz w:val="20"/>
                <w:szCs w:val="20"/>
              </w:rPr>
              <w:t xml:space="preserve">Faible (talent + temps)</w:t>
            </w:r>
          </w:p>
        </w:tc>
        <w:tc>
          <w:tcPr>
            <w:shd w:fill="FFFFFF" w:val="clear"/>
          </w:tcPr>
          <w:p>
            <w:r>
              <w:rPr>
                <w:rFonts w:ascii="Times New Roman" w:cs="Times New Roman" w:eastAsia="Times New Roman" w:hAnsi="Times New Roman"/>
                <w:color w:val="1F2937"/>
                <w:sz w:val="20"/>
                <w:szCs w:val="20"/>
              </w:rPr>
              <w:t xml:space="preserve">Très élevé (création)</w:t>
            </w:r>
          </w:p>
        </w:tc>
        <w:tc>
          <w:tcPr>
            <w:shd w:fill="FFFFFF" w:val="clear"/>
          </w:tcPr>
          <w:p>
            <w:r>
              <w:rPr>
                <w:rFonts w:ascii="Times New Roman" w:cs="Times New Roman" w:eastAsia="Times New Roman" w:hAnsi="Times New Roman"/>
                <w:color w:val="1F2937"/>
                <w:sz w:val="20"/>
                <w:szCs w:val="20"/>
              </w:rPr>
              <w:t xml:space="preserve">Modérée (mises à jour, droits)</w:t>
            </w:r>
          </w:p>
        </w:tc>
        <w:tc>
          <w:tcPr>
            <w:shd w:fill="FFFFFF" w:val="clear"/>
          </w:tcPr>
          <w:p>
            <w:r>
              <w:rPr>
                <w:rFonts w:ascii="Times New Roman" w:cs="Times New Roman" w:eastAsia="Times New Roman" w:hAnsi="Times New Roman"/>
                <w:color w:val="1F2937"/>
                <w:sz w:val="20"/>
                <w:szCs w:val="20"/>
              </w:rPr>
              <w:t xml:space="preserve">Obsolescence du contenu, piratage</w:t>
            </w:r>
          </w:p>
        </w:tc>
      </w:tr>
      <w:tr>
        <w:trPr>
          <w:tblHeader w:val="false"/>
        </w:trPr>
        <w:tc>
          <w:tcPr>
            <w:shd w:fill="EEF2F7" w:val="clear"/>
          </w:tcPr>
          <w:p>
            <w:r>
              <w:rPr>
                <w:rFonts w:ascii="Times New Roman" w:cs="Times New Roman" w:eastAsia="Times New Roman" w:hAnsi="Times New Roman"/>
                <w:color w:val="1F2937"/>
                <w:sz w:val="20"/>
                <w:szCs w:val="20"/>
              </w:rPr>
              <w:t xml:space="preserve">💻 Modèles numériques</w:t>
            </w:r>
          </w:p>
        </w:tc>
        <w:tc>
          <w:tcPr>
            <w:shd w:fill="EEF2F7" w:val="clear"/>
          </w:tcPr>
          <w:p>
            <w:r>
              <w:rPr>
                <w:rFonts w:ascii="Times New Roman" w:cs="Times New Roman" w:eastAsia="Times New Roman" w:hAnsi="Times New Roman"/>
                <w:color w:val="1F2937"/>
                <w:sz w:val="20"/>
                <w:szCs w:val="20"/>
              </w:rPr>
              <w:t xml:space="preserve">Ebook, formation en ligne, template, blog/affiliation, newsletter, micro-SaaS</w:t>
            </w:r>
          </w:p>
        </w:tc>
        <w:tc>
          <w:tcPr>
            <w:shd w:fill="EEF2F7" w:val="clear"/>
          </w:tcPr>
          <w:p>
            <w:r>
              <w:rPr>
                <w:rFonts w:ascii="Times New Roman" w:cs="Times New Roman" w:eastAsia="Times New Roman" w:hAnsi="Times New Roman"/>
                <w:color w:val="1F2937"/>
                <w:sz w:val="20"/>
                <w:szCs w:val="20"/>
              </w:rPr>
              <w:t xml:space="preserve">Faible (hébergement, outils)</w:t>
            </w:r>
          </w:p>
        </w:tc>
        <w:tc>
          <w:tcPr>
            <w:shd w:fill="EEF2F7" w:val="clear"/>
          </w:tcPr>
          <w:p>
            <w:r>
              <w:rPr>
                <w:rFonts w:ascii="Times New Roman" w:cs="Times New Roman" w:eastAsia="Times New Roman" w:hAnsi="Times New Roman"/>
                <w:color w:val="1F2937"/>
                <w:sz w:val="20"/>
                <w:szCs w:val="20"/>
              </w:rPr>
              <w:t xml:space="preserve">Très élevé (création, SEO, audience)</w:t>
            </w:r>
          </w:p>
        </w:tc>
        <w:tc>
          <w:tcPr>
            <w:shd w:fill="EEF2F7" w:val="clear"/>
          </w:tcPr>
          <w:p>
            <w:r>
              <w:rPr>
                <w:rFonts w:ascii="Times New Roman" w:cs="Times New Roman" w:eastAsia="Times New Roman" w:hAnsi="Times New Roman"/>
                <w:color w:val="1F2937"/>
                <w:sz w:val="20"/>
                <w:szCs w:val="20"/>
              </w:rPr>
              <w:t xml:space="preserve">Élevée (mises à jour, support, algo)</w:t>
            </w:r>
          </w:p>
        </w:tc>
        <w:tc>
          <w:tcPr>
            <w:shd w:fill="EEF2F7" w:val="clear"/>
          </w:tcPr>
          <w:p>
            <w:r>
              <w:rPr>
                <w:rFonts w:ascii="Times New Roman" w:cs="Times New Roman" w:eastAsia="Times New Roman" w:hAnsi="Times New Roman"/>
                <w:color w:val="1F2937"/>
                <w:sz w:val="20"/>
                <w:szCs w:val="20"/>
              </w:rPr>
              <w:t xml:space="preserve">Forte concurrence, dépendance aux plateformes</w:t>
            </w:r>
          </w:p>
        </w:tc>
      </w:tr>
    </w:tbl>
    <w:p>
      <w:pPr>
        <w:spacing w:after="80" w:before="80"/>
      </w:pPr>
    </w:p>
    <w:p>
      <w:pPr>
        <w:spacing w:after="80" w:before="80"/>
      </w:pPr>
      <w:r>
        <w:rPr>
          <w:rFonts w:ascii="Times New Roman" w:cs="Times New Roman" w:eastAsia="Times New Roman" w:hAnsi="Times New Roman"/>
          <w:color w:val="1F2937"/>
          <w:sz w:val="22"/>
          <w:szCs w:val="22"/>
        </w:rPr>
        <w:t xml:space="preserve">Source : classification pédagogique adaptée d'un guide généraliste en ligne, complétée par impots.gouv.fr pour la partie fiscale. ⚠️ Les taux et montants de ce tableau doivent être revérifiés aux sources primaires avant tout usage (voir la correction du taux du Livret A ci-dessus). Le tableau des critères est une synthèse pédagogique — pas une évaluation exhaustive.</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Ancrage réaliste — Ce que les comparateurs ne disent pas</w:t>
      </w:r>
    </w:p>
    <w:p>
      <w:pPr>
        <w:pStyle w:val="Heading3"/>
        <w:spacing w:after="80" w:before="200"/>
      </w:pPr>
      <w:r>
        <w:rPr>
          <w:rFonts w:ascii="Times New Roman" w:cs="Times New Roman" w:eastAsia="Times New Roman" w:hAnsi="Times New Roman"/>
          <w:b/>
          <w:bCs/>
          <w:color w:val="1F2937"/>
          <w:sz w:val="26"/>
          <w:szCs w:val="26"/>
        </w:rPr>
        <w:t xml:space="preserve">1. Le capital réel pour un revenu significatif</w:t>
      </w:r>
    </w:p>
    <w:p>
      <w:pPr>
        <w:spacing w:after="80" w:before="80"/>
      </w:pPr>
      <w:r>
        <w:rPr>
          <w:rFonts w:ascii="Times New Roman" w:cs="Times New Roman" w:eastAsia="Times New Roman" w:hAnsi="Times New Roman"/>
          <w:color w:val="1F2937"/>
          <w:sz w:val="22"/>
          <w:szCs w:val="22"/>
        </w:rPr>
        <w:t xml:space="preserve">Illustration chiffrée (calculs refaits et vérifiés ; montants de référence repris des sources primaires citées ci-dessous)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5 % brut (proche du taux moyen SCPI en 2025 : 4,91 %), pour 300 €/mois bruts : il faut environ 72 000 € de capital placé.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Pour atteindre 1 477,93 €/mois (SMIC net depuis le 1er août 2026 — le SMIC a été revalorisé de 2,41 % au 1er juin 2026, le seuil d'inflation ayant été franchi le 13 mai ; source primaire : travail-emploi.gouv.fr) à 5 % brut : environ 355 000 € de capital. La première version de cette leçon retenait 1 443 € (valeur du 1er janvier 2026) et concluait à 345 000 € : un chiffre périmé déplace la cible de 10 000 €.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Ces calculs sont BRUTS. Après PFU 2026 (31,4 % sur les revenus mobiliers) ou barème progressif + prélèvements sociaux (revenus fonciers), le net est significativement inférieur.</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 Calcule toujours en net, pas en brut. La différence entre 5 % brut et 3,4 % net (après 31,4 % de PFU) est de plus de 30 % du revenu apparent.</w:t>
      </w:r>
    </w:p>
    <w:p>
      <w:pPr>
        <w:pStyle w:val="Heading3"/>
        <w:spacing w:after="80" w:before="200"/>
      </w:pPr>
      <w:r>
        <w:rPr>
          <w:rFonts w:ascii="Times New Roman" w:cs="Times New Roman" w:eastAsia="Times New Roman" w:hAnsi="Times New Roman"/>
          <w:b/>
          <w:bCs/>
          <w:color w:val="1F2937"/>
          <w:sz w:val="26"/>
          <w:szCs w:val="26"/>
        </w:rPr>
        <w:t xml:space="preserve">2. Effort réel masqué par famille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Immobilier direct : recherche du bien (des semaines à des mois), financement, travaux, gestion des locataires, déclaration fiscale annuelle. L'immobilier passif est un mythe à grande échelle — il est «semi-passif» au mieux.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SCPI : plus proche du passif réel, mais frais d'entrée élevés (8–12 % du montant investi selon les sociétés de gestion), illiquidité potentielle des parts, et risque de baisse de la valeur de la part.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Modèles numériques : les success stories publiées sur des plateformes comme Indie Hackers sont les survivants — ils représentent une infime minorité des tentatives. Le biais du survivant est massif dans ce secteur.</w:t>
      </w:r>
    </w:p>
    <w:p>
      <w:pPr>
        <w:pStyle w:val="Heading3"/>
        <w:spacing w:after="80" w:before="200"/>
      </w:pPr>
      <w:r>
        <w:rPr>
          <w:rFonts w:ascii="Times New Roman" w:cs="Times New Roman" w:eastAsia="Times New Roman" w:hAnsi="Times New Roman"/>
          <w:b/>
          <w:bCs/>
          <w:color w:val="1F2937"/>
          <w:sz w:val="26"/>
          <w:szCs w:val="26"/>
        </w:rPr>
        <w:t xml:space="preserve">3. Signaux d'arnaque par famille — Source : AMF (amf-france.org)</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L'AMF identifie les signaux d'alerte suivants, valables quelle que soit la famille de revenu passif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Vous ne connaissez pas la personne qui vous contacte.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On vous promet des rendements très élevés ET sans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Vous devez prendre une décision rapidement (pression temporelle).</w:t>
      </w:r>
    </w:p>
    <w:p>
      <w:pPr>
        <w:spacing w:after="80" w:before="80"/>
      </w:pPr>
      <w:r>
        <w:rPr>
          <w:rFonts w:ascii="Times New Roman" w:cs="Times New Roman" w:eastAsia="Times New Roman" w:hAnsi="Times New Roman"/>
          <w:color w:val="1F2937"/>
          <w:sz w:val="22"/>
          <w:szCs w:val="22"/>
        </w:rPr>
        <w:t xml:space="preserve">Les listes noires AMF/ACPR recensent des milliers d'acteurs non autorisés (la page de l'AMF affiche environ 227 pages d'entrées). Ces listes ne sont pas exhaustives car de nouveaux acteurs apparaissent en permanence.</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 Règle absolue : avant tout placement, vérifier que l'acteur figure dans les listes blanches AMF/ACPR (acteurs autorisés) sur protectepargne.amf-france.org.</w:t>
      </w:r>
    </w:p>
    <w:p>
      <w:pPr>
        <w:pStyle w:val="Heading3"/>
        <w:spacing w:after="80" w:before="200"/>
      </w:pPr>
      <w:r>
        <w:rPr>
          <w:rFonts w:ascii="Times New Roman" w:cs="Times New Roman" w:eastAsia="Times New Roman" w:hAnsi="Times New Roman"/>
          <w:b/>
          <w:bCs/>
          <w:color w:val="1F2937"/>
          <w:sz w:val="26"/>
          <w:szCs w:val="26"/>
        </w:rPr>
        <w:t xml:space="preserve">4. Fiscalité — Le vrai coût</w:t>
      </w:r>
    </w:p>
    <w:p>
      <w:pPr>
        <w:spacing w:after="80" w:before="80"/>
      </w:pPr>
      <w:r>
        <w:rPr>
          <w:rFonts w:ascii="Times New Roman" w:cs="Times New Roman" w:eastAsia="Times New Roman" w:hAnsi="Times New Roman"/>
          <w:color w:val="1F2937"/>
          <w:sz w:val="22"/>
          <w:szCs w:val="22"/>
        </w:rPr>
        <w:t xml:space="preserve">Comparatif simplifié selon la famille et le régime (données 2026 sourcées sur impots.gouv.fr)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A/LDDS : 0 % impôt et 0 % prélèvements sociaux. C'est l'exception, pas la règle.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ETF distribuants, dividendes, intérêts obligataires : PFU 31,4 % (12,8 % IR + 18,6 % PS) ou barème progressif sur option.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Revenus fonciers (location nue, SCPI) : barème progressif IR + 17,2 % de prélèvements sociaux (au titre des revenus 2025 ; la hausse à 18,6 % s'applique aux prélèvements effectués à partir du 1er janvier 2026 — à vérifier sur impots.gouv.fr pour les revenus 2026).</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Micro-foncier (revenus ≤ 15 000 € bruts) : abattement 30 % sur le revenu brut, puis IR + PS.</w:t>
      </w:r>
    </w:p>
    <w:p>
      <w:pPr>
        <w:spacing w:after="80" w:before="80"/>
      </w:pPr>
      <w:r>
        <w:rPr>
          <w:rFonts w:ascii="Times New Roman" w:cs="Times New Roman" w:eastAsia="Times New Roman" w:hAnsi="Times New Roman"/>
          <w:color w:val="1F2937"/>
          <w:sz w:val="22"/>
          <w:szCs w:val="22"/>
        </w:rPr>
        <w:t xml:space="preserve">Note : les taux de prélèvements sociaux sur les revenus fonciers (17,2 % ou 18,6 %) dépendent de la date d'encaissement. En cas de doute pour ta situation, consulter impots.gouv.fr ou un professionnel agréé.</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 3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familles</w:t>
      </w:r>
    </w:p>
    <w:p>
      <w:pPr>
        <w:spacing w:after="80" w:before="80"/>
      </w:pPr>
      <w:r>
        <w:rPr>
          <w:rFonts w:ascii="Times New Roman" w:cs="Times New Roman" w:eastAsia="Times New Roman" w:hAnsi="Times New Roman"/>
          <w:color w:val="1F2937"/>
          <w:sz w:val="22"/>
          <w:szCs w:val="22"/>
        </w:rPr>
        <w:t xml:space="preserve">Durée estimée : 20–30 minutes.</w:t>
      </w:r>
    </w:p>
    <w:p>
      <w:pPr>
        <w:spacing w:after="80" w:before="80"/>
      </w:pPr>
      <w:r>
        <w:rPr>
          <w:rFonts w:ascii="Times New Roman" w:cs="Times New Roman" w:eastAsia="Times New Roman" w:hAnsi="Times New Roman"/>
          <w:color w:val="1F2937"/>
          <w:sz w:val="22"/>
          <w:szCs w:val="22"/>
        </w:rPr>
        <w:t xml:space="preserve">Objectif : concrétiser la grille de classification en l'appliquant à des situations réelles.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Prends une feuille (ou un tableur). Dresse un tableau à 4 colonnes : Famille | Exemple concret que tu connais (ou que tu as déjà rencontré en ligne, dans un livre, dans ton entourage) | Capital que cela nécessiterait | Première réaction spontanée (attrayant / réaliste / inquiétant / autre).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Remplis au moins 2 lignes par famille (8 exemples minimum).</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2 exemples qui t'avaient semblé « vraiment passifs » avant cette leçon et qui, à la lumière du tableau comparatif, méritent d'être reclassés.</w:t>
      </w:r>
    </w:p>
    <w:p>
      <w:pPr>
        <w:spacing w:after="80" w:before="80"/>
      </w:pPr>
      <w:r>
        <w:rPr>
          <w:rFonts w:ascii="Times New Roman" w:cs="Times New Roman" w:eastAsia="Times New Roman" w:hAnsi="Times New Roman"/>
          <w:color w:val="1F2937"/>
          <w:sz w:val="22"/>
          <w:szCs w:val="22"/>
        </w:rPr>
        <w:t xml:space="preserve">Corrigé-type : il n'y a pas de réponse unique — mais un exemple fréquent : la « location Airbnb » est souvent perçue comme passive ; elle appartient à la famille immobilier, mais son niveau de maintenance (accueil, ménage, communication) la rend très active. Le but de cet exercice est de faire travailler ton sens critique, pas de mémoriser une liste.</w:t>
      </w:r>
    </w:p>
    <w:p>
      <w:pPr>
        <w:pStyle w:val="Heading3"/>
        <w:spacing w:after="80" w:before="200"/>
      </w:pPr>
      <w:r>
        <w:rPr>
          <w:rFonts w:ascii="Times New Roman" w:cs="Times New Roman" w:eastAsia="Times New Roman" w:hAnsi="Times New Roman"/>
          <w:b/>
          <w:bCs/>
          <w:color w:val="1F2937"/>
          <w:sz w:val="26"/>
          <w:szCs w:val="26"/>
        </w:rPr>
        <w:t xml:space="preserve">Exercice 2 — Simulation fiscale comparée</w:t>
      </w:r>
    </w:p>
    <w:p>
      <w:pPr>
        <w:spacing w:after="80" w:before="80"/>
      </w:pPr>
      <w:r>
        <w:rPr>
          <w:rFonts w:ascii="Times New Roman" w:cs="Times New Roman" w:eastAsia="Times New Roman" w:hAnsi="Times New Roman"/>
          <w:color w:val="1F2937"/>
          <w:sz w:val="22"/>
          <w:szCs w:val="22"/>
        </w:rPr>
        <w:t xml:space="preserve">Durée estimée : 30–45 minutes.</w:t>
      </w:r>
    </w:p>
    <w:p>
      <w:pPr>
        <w:spacing w:after="80" w:before="80"/>
      </w:pPr>
      <w:r>
        <w:rPr>
          <w:rFonts w:ascii="Times New Roman" w:cs="Times New Roman" w:eastAsia="Times New Roman" w:hAnsi="Times New Roman"/>
          <w:color w:val="1F2937"/>
          <w:sz w:val="22"/>
          <w:szCs w:val="22"/>
        </w:rPr>
        <w:t xml:space="preserve">Objectif : comprendre l'impact de la fiscalité sur le revenu net réel selon la famille.</w:t>
      </w:r>
    </w:p>
    <w:p>
      <w:pPr>
        <w:spacing w:after="80" w:before="80"/>
      </w:pPr>
      <w:r>
        <w:rPr>
          <w:rFonts w:ascii="Times New Roman" w:cs="Times New Roman" w:eastAsia="Times New Roman" w:hAnsi="Times New Roman"/>
          <w:color w:val="1F2937"/>
          <w:sz w:val="22"/>
          <w:szCs w:val="22"/>
        </w:rPr>
        <w:t xml:space="preserve">Données de départ : suppose que tu perçois 1 200 € bruts annuels de revenus passifs, répartis en 3 scénarios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A : 1 200 € d'intérêts sur un Livret 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B : 1 200 € de dividendes d'ETF (PEA exclu pour simplifier, PFU applicable).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C : 1 200 € de revenus fonciers nets de charges (micro-foncier, abattement 30 %).</w:t>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1. Combien gardes-tu dans chaque scénario (calcul en net)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2. Quel écart y a-t-il entre le scénario le plus favorable et le moins favorable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3. Comment la tranche marginale d'imposition influence-t-elle le scénario C (calcule pour TMI 11 % et TMI 30 %) ?</w:t>
      </w:r>
    </w:p>
    <w:p>
      <w:pPr>
        <w:spacing w:after="80" w:before="80"/>
      </w:pPr>
      <w:r>
        <w:rPr>
          <w:rFonts w:ascii="Times New Roman" w:cs="Times New Roman" w:eastAsia="Times New Roman" w:hAnsi="Times New Roman"/>
          <w:color w:val="1F2937"/>
          <w:sz w:val="22"/>
          <w:szCs w:val="22"/>
        </w:rPr>
        <w:t xml:space="preserve">Corrigé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A : 0 % (Livret A exonéré) → 1 200 € nets.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B : PFU 31,4 % sur 1 200 € → 31,4 % × 1 200 = 376,80 € d'impôts → net = 823,20 €.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C : abattement micro-foncier 30 % → base imposable = 840 €. Puis IR selon TMI + 17,2 % PS (revenus 2025). Pour TMI 11 % : IR = 92,40 € + PS = 144,48 € = 236,88 € → net = 963,12 €. Pour TMI 30 % : IR = 252 € + PS = 144,48 € = 396,48 € → net = 803,52 €.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Écart maximal : entre scénario A (1 200 € nets) et scénario B à TMI 30 % (~823 €) → presque 400 € d'écart sur 1 200 € bruts. La famille de revenu et le régime fiscal comptent autant que le taux de rendement brut affiché.</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 Ces calculs utilisent les taux sourcés sur impots.gouv.fr (PFU 12,8 % + PS 18,6 % en 2026 ; micro-foncier abattement 30 %). Vérifie toujours ta situation personnelle sur impots.gouv.fr ou avec un professionnel, car TMI et situations varient.</w:t>
      </w:r>
    </w:p>
    <w:p>
      <w:pPr>
        <w:pStyle w:val="Heading3"/>
        <w:spacing w:after="80" w:before="200"/>
      </w:pPr>
      <w:r>
        <w:rPr>
          <w:rFonts w:ascii="Times New Roman" w:cs="Times New Roman" w:eastAsia="Times New Roman" w:hAnsi="Times New Roman"/>
          <w:b/>
          <w:bCs/>
          <w:color w:val="1F2937"/>
          <w:sz w:val="26"/>
          <w:szCs w:val="26"/>
        </w:rPr>
        <w:t xml:space="preserve">Exercice 3 — Analyse critique d'une proposition réelle</w:t>
      </w:r>
    </w:p>
    <w:p>
      <w:pPr>
        <w:spacing w:after="80" w:before="80"/>
      </w:pPr>
      <w:r>
        <w:rPr>
          <w:rFonts w:ascii="Times New Roman" w:cs="Times New Roman" w:eastAsia="Times New Roman" w:hAnsi="Times New Roman"/>
          <w:color w:val="1F2937"/>
          <w:sz w:val="22"/>
          <w:szCs w:val="22"/>
        </w:rPr>
        <w:t xml:space="preserve">Durée estimée : 20–30 minutes.</w:t>
      </w:r>
    </w:p>
    <w:p>
      <w:pPr>
        <w:spacing w:after="80" w:before="80"/>
      </w:pPr>
      <w:r>
        <w:rPr>
          <w:rFonts w:ascii="Times New Roman" w:cs="Times New Roman" w:eastAsia="Times New Roman" w:hAnsi="Times New Roman"/>
          <w:color w:val="1F2937"/>
          <w:sz w:val="22"/>
          <w:szCs w:val="22"/>
        </w:rPr>
        <w:t xml:space="preserve">Objectif : appliquer la grille d'analyse et les signaux d'alerte AMF à une proposition concrète.</w:t>
      </w:r>
    </w:p>
    <w:p>
      <w:pPr>
        <w:spacing w:after="80" w:before="80"/>
      </w:pPr>
      <w:r>
        <w:rPr>
          <w:rFonts w:ascii="Times New Roman" w:cs="Times New Roman" w:eastAsia="Times New Roman" w:hAnsi="Times New Roman"/>
          <w:color w:val="1F2937"/>
          <w:sz w:val="22"/>
          <w:szCs w:val="22"/>
        </w:rPr>
        <w:t xml:space="preserve">Méthode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une publicité, une vidéo YouTube, un email ou un post de réseau social que tu as récemment vu et qui promettait un revenu passif.</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tu n'en trouves pas, utilise cet exemple fictif fictif reconstruit à partir de patterns réels : « Rejoins notre programme exclusif de dropshipping IA : génère 3 000 €/mois en automatique, sans stock, sans expérience, dès les premières semaines. Accès limité, prix réduit jusqu'à dimanche. »</w:t>
      </w:r>
    </w:p>
    <w:p>
      <w:pPr>
        <w:spacing w:after="80" w:before="80"/>
      </w:pPr>
      <w:r>
        <w:rPr>
          <w:rFonts w:ascii="Times New Roman" w:cs="Times New Roman" w:eastAsia="Times New Roman" w:hAnsi="Times New Roman"/>
          <w:color w:val="1F2937"/>
          <w:sz w:val="22"/>
          <w:szCs w:val="22"/>
        </w:rPr>
        <w:t xml:space="preserve">Analyse en 4 points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1. À quelle famille appartient ce modèle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2. Quels signaux d'alerte AMF sont présents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3. Quels coûts cachés et quel effort réel sont passés sous silence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4. Quel serait le capital (ou le temps initial) réaliste pour atteindre l'objectif annoncé ?</w:t>
      </w:r>
    </w:p>
    <w:p>
      <w:pPr>
        <w:spacing w:after="80" w:before="80"/>
      </w:pPr>
      <w:r>
        <w:rPr>
          <w:rFonts w:ascii="Times New Roman" w:cs="Times New Roman" w:eastAsia="Times New Roman" w:hAnsi="Times New Roman"/>
          <w:color w:val="1F2937"/>
          <w:sz w:val="22"/>
          <w:szCs w:val="22"/>
        </w:rPr>
        <w:t xml:space="preserve">Corrigé sur l'exemple fictif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Famille : modèles numériques (dropshipping = e-commerce automatisé).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Signaux AMF présents : rendement très élevé annoncé (3 000 €/mois), pression temporelle ("jusqu'à dimanche"), promesse "sans expérience".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Coûts cachés : frais de la "formation" elle-même (souvent plusieurs centaines à plusieurs milliers d'euros), outils (Shopify, publicités Meta/Google), gestion des retours clients, TVA à collecter selon CA.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4. Effort réel : création et gestion d'une boutique, publicités, service client, sourcing fournisseurs — loin d'être automatique dès le départ.</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Matrice de sélection personnelle</w:t>
      </w:r>
    </w:p>
    <w:p>
      <w:pPr>
        <w:spacing w:after="80" w:before="80"/>
      </w:pPr>
      <w:r>
        <w:rPr>
          <w:rFonts w:ascii="Times New Roman" w:cs="Times New Roman" w:eastAsia="Times New Roman" w:hAnsi="Times New Roman"/>
          <w:color w:val="1F2937"/>
          <w:sz w:val="22"/>
          <w:szCs w:val="22"/>
        </w:rPr>
        <w:t xml:space="preserve">Durée estimée : 45 minutes à 1 heure.</w:t>
      </w:r>
    </w:p>
    <w:p>
      <w:pPr>
        <w:spacing w:after="80" w:before="80"/>
      </w:pPr>
      <w:r>
        <w:rPr>
          <w:rFonts w:ascii="Times New Roman" w:cs="Times New Roman" w:eastAsia="Times New Roman" w:hAnsi="Times New Roman"/>
          <w:color w:val="1F2937"/>
          <w:sz w:val="22"/>
          <w:szCs w:val="22"/>
        </w:rPr>
        <w:t xml:space="preserve">Construis ta propre matrice de priorisation des 4 familles, adaptée à ta situation actuelle. L'objectif n'est pas de prendre une décision d'investissement (ce n'est pas le rôle de ce cours), mais de cartographier ce qui est réaliste pour toi aujourd'hui.</w:t>
      </w:r>
    </w:p>
    <w:p>
      <w:pPr>
        <w:spacing w:after="80" w:before="80"/>
      </w:pPr>
      <w:r>
        <w:rPr>
          <w:rFonts w:ascii="Times New Roman" w:cs="Times New Roman" w:eastAsia="Times New Roman" w:hAnsi="Times New Roman"/>
          <w:color w:val="1F2937"/>
          <w:sz w:val="22"/>
          <w:szCs w:val="22"/>
        </w:rPr>
        <w:t xml:space="preserve">Format suggéré (tableau)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1 : Famille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2 : Capital que j'aurais (ou pourrais mobiliser dans 12 mois) — en ordre de grandeur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3 : Temps disponible par semaine pour l'effort initial (en heures)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4 : Tolérance au risque perçue (faible / moyenne / élevée)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5 : Famille compatible avec mes contraintes ? (oui / non / peut-être)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6 : Un point de vigilance spécifique que je retiens pour cette famille</w:t>
      </w:r>
    </w:p>
    <w:p>
      <w:pPr>
        <w:spacing w:after="80" w:before="80"/>
      </w:pPr>
      <w:r>
        <w:rPr>
          <w:rFonts w:ascii="Times New Roman" w:cs="Times New Roman" w:eastAsia="Times New Roman" w:hAnsi="Times New Roman"/>
          <w:color w:val="1F2937"/>
          <w:sz w:val="22"/>
          <w:szCs w:val="22"/>
        </w:rPr>
        <w:t xml:space="preserve">Ensuite, formule une conclusion en 3 phrases maximum : quelle famille te semble la plus réaliste à explorer en priorité dans le cadre de ce parcours, et pourquoi ?</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Rappel déontologique : cette matrice est un outil pédagogique d'exploration, pas un conseil en investissement. Si tu envisages d'agir sur la base de cette réflexion, consulte un conseiller agréé (CIF inscrit à l'ORIAS).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Sources consultées pendant cette leçon :</w:t>
      </w:r>
    </w:p>
    <w:p>
      <w:pPr>
        <w:spacing w:after="40" w:before="80"/>
      </w:pPr>
      <w:r>
        <w:rPr>
          <w:rFonts w:ascii="Times New Roman" w:cs="Times New Roman" w:eastAsia="Times New Roman" w:hAnsi="Times New Roman"/>
          <w:b/>
          <w:bCs/>
          <w:color w:val="1F2937"/>
          <w:sz w:val="22"/>
          <w:szCs w:val="22"/>
        </w:rPr>
        <w:t xml:space="preserve">Sources officielles :</w:t>
      </w:r>
    </w:p>
    <w:p>
      <w:pPr>
        <w:pStyle w:val="ListParagraph"/>
        <w:numPr>
          <w:ilvl w:val="0"/>
          <w:numId w:val="1"/>
        </w:numPr>
        <w:spacing w:after="60" w:before="60"/>
      </w:pPr>
      <w:hyperlink w:history="1" r:id="rIdxtngzyei1lfrqrxiinerm">
        <w:r>
          <w:rPr>
            <w:rFonts w:ascii="Times New Roman" w:cs="Times New Roman" w:eastAsia="Times New Roman" w:hAnsi="Times New Roman"/>
            <w:color w:val="1155CC"/>
            <w:sz w:val="22"/>
            <w:szCs w:val="22"/>
            <w:u w:val="single"/>
          </w:rPr>
          <w:t xml:space="preserve">impots.gouv.fr — Les revenus mobiliers (PFU, PS, catégories)</w:t>
        </w:r>
      </w:hyperlink>
    </w:p>
    <w:p>
      <w:pPr>
        <w:pStyle w:val="ListParagraph"/>
        <w:numPr>
          <w:ilvl w:val="0"/>
          <w:numId w:val="1"/>
        </w:numPr>
        <w:spacing w:after="60" w:before="60"/>
      </w:pPr>
      <w:hyperlink w:history="1" r:id="rIdx5oux5k-5wttuhea0fqsm">
        <w:r>
          <w:rPr>
            <w:rFonts w:ascii="Times New Roman" w:cs="Times New Roman" w:eastAsia="Times New Roman" w:hAnsi="Times New Roman"/>
            <w:color w:val="1155CC"/>
            <w:sz w:val="22"/>
            <w:szCs w:val="22"/>
            <w:u w:val="single"/>
          </w:rPr>
          <w:t xml:space="preserve">bofip.impots.gouv.fr — Régime micro-foncier (revenus fonciers, seuil 15 000 €)</w:t>
        </w:r>
      </w:hyperlink>
    </w:p>
    <w:p>
      <w:pPr>
        <w:pStyle w:val="ListParagraph"/>
        <w:numPr>
          <w:ilvl w:val="0"/>
          <w:numId w:val="1"/>
        </w:numPr>
        <w:spacing w:after="60" w:before="60"/>
      </w:pPr>
      <w:hyperlink w:history="1" r:id="rIdqqkrdk4z3lbbcqmrcez8w">
        <w:r>
          <w:rPr>
            <w:rFonts w:ascii="Times New Roman" w:cs="Times New Roman" w:eastAsia="Times New Roman" w:hAnsi="Times New Roman"/>
            <w:color w:val="1155CC"/>
            <w:sz w:val="22"/>
            <w:szCs w:val="22"/>
            <w:u w:val="single"/>
          </w:rPr>
          <w:t xml:space="preserve">impots.gouv.fr — Location vide de meubles (revenus fonciers)</w:t>
        </w:r>
      </w:hyperlink>
    </w:p>
    <w:p>
      <w:pPr>
        <w:pStyle w:val="ListParagraph"/>
        <w:numPr>
          <w:ilvl w:val="0"/>
          <w:numId w:val="1"/>
        </w:numPr>
        <w:spacing w:after="60" w:before="60"/>
      </w:pPr>
      <w:hyperlink w:history="1" r:id="rIdxpmifej3rq7zh5wlh_ev1">
        <w:r>
          <w:rPr>
            <w:rFonts w:ascii="Times New Roman" w:cs="Times New Roman" w:eastAsia="Times New Roman" w:hAnsi="Times New Roman"/>
            <w:color w:val="1155CC"/>
            <w:sz w:val="22"/>
            <w:szCs w:val="22"/>
            <w:u w:val="single"/>
          </w:rPr>
          <w:t xml:space="preserve">AMF — Espace Épargnants (protection, listes noires, mises en garde)</w:t>
        </w:r>
      </w:hyperlink>
    </w:p>
    <w:p>
      <w:pPr>
        <w:pStyle w:val="ListParagraph"/>
        <w:numPr>
          <w:ilvl w:val="0"/>
          <w:numId w:val="1"/>
        </w:numPr>
        <w:spacing w:after="60" w:before="60"/>
      </w:pPr>
      <w:hyperlink w:history="1" r:id="rId99to6wwtegp5naacrwmwc">
        <w:r>
          <w:rPr>
            <w:rFonts w:ascii="Times New Roman" w:cs="Times New Roman" w:eastAsia="Times New Roman" w:hAnsi="Times New Roman"/>
            <w:color w:val="1155CC"/>
            <w:sz w:val="22"/>
            <w:szCs w:val="22"/>
            <w:u w:val="single"/>
          </w:rPr>
          <w:t xml:space="preserve">AMF — Listes noires et mises en garde (acteurs non autorisés)</w:t>
        </w:r>
      </w:hyperlink>
    </w:p>
    <w:p>
      <w:pPr>
        <w:pStyle w:val="ListParagraph"/>
        <w:numPr>
          <w:ilvl w:val="0"/>
          <w:numId w:val="1"/>
        </w:numPr>
        <w:spacing w:after="60" w:before="60"/>
      </w:pPr>
      <w:hyperlink w:history="1" r:id="rIdhmtvnt0nuk2w-jmniahi1">
        <w:r>
          <w:rPr>
            <w:rFonts w:ascii="Times New Roman" w:cs="Times New Roman" w:eastAsia="Times New Roman" w:hAnsi="Times New Roman"/>
            <w:color w:val="1155CC"/>
            <w:sz w:val="22"/>
            <w:szCs w:val="22"/>
            <w:u w:val="single"/>
          </w:rPr>
          <w:t xml:space="preserve">AMF Protect Épargne — Vérifier un acteur financier</w:t>
        </w:r>
      </w:hyperlink>
    </w:p>
    <w:p>
      <w:pPr>
        <w:spacing w:after="40" w:before="80"/>
      </w:pPr>
      <w:r>
        <w:rPr>
          <w:rFonts w:ascii="Times New Roman" w:cs="Times New Roman" w:eastAsia="Times New Roman" w:hAnsi="Times New Roman"/>
          <w:b/>
          <w:bCs/>
          <w:color w:val="1F2937"/>
          <w:sz w:val="22"/>
          <w:szCs w:val="22"/>
        </w:rPr>
        <w:t xml:space="preserve">Sources secondaires consultées :</w:t>
      </w:r>
    </w:p>
    <w:p>
      <w:pPr>
        <w:pStyle w:val="ListParagraph"/>
        <w:numPr>
          <w:ilvl w:val="0"/>
          <w:numId w:val="1"/>
        </w:numPr>
        <w:spacing w:after="60" w:before="60"/>
      </w:pPr>
      <w:hyperlink w:history="1" r:id="rIdg70wqhfleogbwo-3wrccg">
        <w:r>
          <w:rPr>
            <w:rFonts w:ascii="Times New Roman" w:cs="Times New Roman" w:eastAsia="Times New Roman" w:hAnsi="Times New Roman"/>
            <w:color w:val="1155CC"/>
            <w:sz w:val="22"/>
            <w:szCs w:val="22"/>
            <w:u w:val="single"/>
          </w:rPr>
          <w:t xml:space="preserve">european-funding-guide.eu — Revenu passif en France 2026 : sources réalistes, fiscalité et erreurs à éviter. ⚠️ Agrégateur utile pour la vue d'ensemble, mais dont les valeurs chiffrées ne sont PAS tenues à jour : c'est de là que venaient le taux du Livret A et le SMIC périmés de la première version. À ne jamais utiliser comme source d'un taux ou d'un montant.</w:t>
        </w:r>
      </w:hyperlink>
    </w:p>
    <w:p>
      <w:pPr>
        <w:spacing w:after="40" w:before="80"/>
      </w:pPr>
      <w:r>
        <w:rPr>
          <w:rFonts w:ascii="Times New Roman" w:cs="Times New Roman" w:eastAsia="Times New Roman" w:hAnsi="Times New Roman"/>
          <w:b/>
          <w:bCs/>
          <w:color w:val="1F2937"/>
          <w:sz w:val="22"/>
          <w:szCs w:val="22"/>
        </w:rPr>
        <w:t xml:space="preserve">Sources non accessibles (⛔) :</w:t>
      </w:r>
    </w:p>
    <w:p>
      <w:pPr>
        <w:spacing w:after="80" w:before="80"/>
      </w:pPr>
      <w:r>
        <w:rPr>
          <w:rFonts w:ascii="Times New Roman" w:cs="Times New Roman" w:eastAsia="Times New Roman" w:hAnsi="Times New Roman"/>
          <w:color w:val="1F2937"/>
          <w:sz w:val="22"/>
          <w:szCs w:val="22"/>
        </w:rPr>
        <w:t xml:space="preserve">⛔ AMF — Comprendre les produits financiers (404 au moment de la consultation)</w:t>
      </w:r>
    </w:p>
    <w:p>
      <w:pPr>
        <w:spacing w:after="80" w:before="80"/>
      </w:pPr>
      <w:r>
        <w:rPr>
          <w:rFonts w:ascii="Times New Roman" w:cs="Times New Roman" w:eastAsia="Times New Roman" w:hAnsi="Times New Roman"/>
          <w:color w:val="1F2937"/>
          <w:sz w:val="22"/>
          <w:szCs w:val="22"/>
        </w:rPr>
        <w:t xml:space="preserve">⛔ impots.gouv.fr — Les revenus de capitaux mobiliers (URL directe — 404 ; accès via WebSearch sur les pages secondaires)</w:t>
      </w:r>
    </w:p>
    <w:p>
      <w:pPr>
        <w:spacing w:after="80" w:before="80"/>
      </w:pPr>
      <w:r>
        <w:rPr>
          <w:rFonts w:ascii="Times New Roman" w:cs="Times New Roman" w:eastAsia="Times New Roman" w:hAnsi="Times New Roman"/>
          <w:color w:val="1F2937"/>
          <w:sz w:val="22"/>
          <w:szCs w:val="22"/>
        </w:rPr>
        <w:t xml:space="preserve">⛔ investopedia.com (bloqué en mode headless)</w:t>
      </w:r>
    </w:p>
    <w:p>
      <w:pPr>
        <w:spacing w:after="80" w:before="80"/>
      </w:pPr>
      <w:r>
        <w:rPr>
          <w:rFonts w:ascii="Times New Roman" w:cs="Times New Roman" w:eastAsia="Times New Roman" w:hAnsi="Times New Roman"/>
          <w:color w:val="1F2937"/>
          <w:sz w:val="22"/>
          <w:szCs w:val="22"/>
        </w:rPr>
        <w:t xml:space="preserve">⛔ service-public.gouv.fr/N20072 (404 après redirection)</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 — n°03</w:t>
      </w:r>
    </w:p>
    <w:p>
      <w:pPr>
        <w:spacing w:after="80" w:before="80"/>
      </w:pPr>
      <w:r>
        <w:rPr>
          <w:rFonts w:ascii="Times New Roman" w:cs="Times New Roman" w:eastAsia="Times New Roman" w:hAnsi="Times New Roman"/>
          <w:color w:val="1F2937"/>
          <w:sz w:val="22"/>
          <w:szCs w:val="22"/>
        </w:rPr>
        <w:t xml:space="preserve">Thème : La mécanique d'un modèle passif — les trois intrants (capital, temps, compétence) et le point de bascule.</w:t>
      </w:r>
    </w:p>
    <w:p>
      <w:pPr>
        <w:spacing w:after="80" w:before="80"/>
      </w:pPr>
      <w:r>
        <w:rPr>
          <w:rFonts w:ascii="Times New Roman" w:cs="Times New Roman" w:eastAsia="Times New Roman" w:hAnsi="Times New Roman"/>
          <w:color w:val="1F2937"/>
          <w:sz w:val="22"/>
          <w:szCs w:val="22"/>
        </w:rPr>
        <w:t xml:space="preserve">Tu verras comment tout modèle passif combine ces trois ressources en proportions variables, et à partir de quel seuil le revenu commence à compenser l'investissement initial. Cette leçon introduira les concepts de ROI temporel, de point de bascule et de durée d'amortissement.</w:t>
      </w:r>
    </w:p>
    <w:p>
      <w:pPr>
        <w:spacing w:after="40" w:before="40"/>
      </w:pPr>
    </w:p>
    <w:p>
      <w:pPr>
        <w:pBdr>
          <w:bottom w:val="single" w:color="1B3A6B" w:sz="6"/>
        </w:pBdr>
        <w:spacing w:after="160" w:before="160"/>
      </w:pPr>
    </w:p>
    <w:p>
      <w:pPr>
        <w:spacing w:after="40" w:before="80"/>
        <w:jc w:val="center"/>
      </w:pPr>
      <w:r>
        <w:rPr>
          <w:rFonts w:ascii="Times New Roman" w:cs="Times New Roman" w:eastAsia="Times New Roman" w:hAnsi="Times New Roman"/>
          <w:i/>
          <w:iCs/>
          <w:color w:val="1F2937"/>
          <w:sz w:val="18"/>
          <w:szCs w:val="18"/>
        </w:rPr>
        <w:t xml:space="preserve">Leçon éducative et généraliste — Pas de conseil en investissement</w:t>
      </w:r>
    </w:p>
    <w:p>
      <w:pPr>
        <w:spacing w:after="80" w:before="0"/>
        <w:jc w:val="center"/>
      </w:pPr>
      <w:r>
        <w:rPr>
          <w:rFonts w:ascii="Times New Roman" w:cs="Times New Roman" w:eastAsia="Times New Roman" w:hAnsi="Times New Roman"/>
          <w:i/>
          <w:iCs/>
          <w:color w:val="1F2937"/>
          <w:sz w:val="18"/>
          <w:szCs w:val="18"/>
        </w:rPr>
        <w:t xml:space="preserve">Décision : ta responsabilité — le cas échéant avec un professionnel agréé (CIF/ORIAS)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ngzyei1lfrqrxiinerm" Type="http://schemas.openxmlformats.org/officeDocument/2006/relationships/hyperlink" Target="https://www.impots.gouv.fr/particulier/les-revenus-mobiliers" TargetMode="External"/><Relationship Id="rIdx5oux5k-5wttuhea0fqsm" Type="http://schemas.openxmlformats.org/officeDocument/2006/relationships/hyperlink" Target="https://bofip.impots.gouv.fr/bofip/3973-PGP.html/identifiant=BOI-RFPI-DECLA-10-20250306" TargetMode="External"/><Relationship Id="rIdqqkrdk4z3lbbcqmrcez8w" Type="http://schemas.openxmlformats.org/officeDocument/2006/relationships/hyperlink" Target="https://www.impots.gouv.fr/particulier/location-vide-de-meubles" TargetMode="External"/><Relationship Id="rIdxpmifej3rq7zh5wlh_ev1" Type="http://schemas.openxmlformats.org/officeDocument/2006/relationships/hyperlink" Target="https://www.amf-france.org/fr/espace-epargnants" TargetMode="External"/><Relationship Id="rId99to6wwtegp5naacrwmwc" Type="http://schemas.openxmlformats.org/officeDocument/2006/relationships/hyperlink" Target="https://www.amf-france.org/fr/espace-epargnants/proteger-son-epargne/listes-noires-et-mises-en-garde" TargetMode="External"/><Relationship Id="rIdhmtvnt0nuk2w-jmniahi1" Type="http://schemas.openxmlformats.org/officeDocument/2006/relationships/hyperlink" Target="https://protectepargne.amf-france.org/" TargetMode="External"/><Relationship Id="rIdg70wqhfleogbwo-3wrccg" Type="http://schemas.openxmlformats.org/officeDocument/2006/relationships/hyperlink" Target="https://www.european-funding-guide.eu/fr/revenu-passi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2026-08-02T05:08:07.196Z</dcterms:created>
  <dcterms:modified xsi:type="dcterms:W3CDTF">2026-08-02T05:08:07.214Z</dcterms:modified>
</cp:coreProperties>
</file>

<file path=docProps/custom.xml><?xml version="1.0" encoding="utf-8"?>
<Properties xmlns="http://schemas.openxmlformats.org/officeDocument/2006/custom-properties" xmlns:vt="http://schemas.openxmlformats.org/officeDocument/2006/docPropsVTypes"/>
</file>