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Placement financier n°17</w:t>
      </w:r>
    </w:p>
    <w:p>
      <w:pPr>
        <w:pStyle w:val="Heading1"/>
        <w:spacing w:after="200" w:before="200"/>
        <w:jc w:val="center"/>
      </w:pPr>
      <w:r>
        <w:rPr>
          <w:rFonts w:ascii="Times New Roman" w:cs="Times New Roman" w:eastAsia="Times New Roman" w:hAnsi="Times New Roman"/>
          <w:b/>
          <w:bCs/>
          <w:color w:val="1B3A6B"/>
          <w:sz w:val="52"/>
          <w:szCs w:val="52"/>
        </w:rPr>
        <w:t xml:space="preserve">Arnaques, produits toxiques et signaux d'alerte</w:t>
      </w:r>
    </w:p>
    <w:p>
      <w:pPr>
        <w:spacing w:after="60" w:before="100"/>
        <w:jc w:val="center"/>
      </w:pPr>
      <w:r>
        <w:rPr>
          <w:rFonts w:ascii="Times New Roman" w:cs="Times New Roman" w:eastAsia="Times New Roman" w:hAnsi="Times New Roman"/>
          <w:i/>
          <w:iCs/>
          <w:color w:val="1B3A6B"/>
          <w:sz w:val="22"/>
          <w:szCs w:val="22"/>
        </w:rPr>
        <w:t xml:space="preserve">3 octobre 2026  ·  Leçon 17 / 20</w:t>
      </w:r>
    </w:p>
    <w:p>
      <w:pPr>
        <w:spacing w:after="60" w:before="60"/>
      </w:pPr>
      <w:r>
        <w:t xml:space="preserve"/>
      </w: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80" w:before="80"/>
      </w:pPr>
      <w:r>
        <w:rPr>
          <w:rFonts w:ascii="Times New Roman" w:cs="Times New Roman" w:eastAsia="Times New Roman" w:hAnsi="Times New Roman"/>
          <w:b w:val="false"/>
          <w:bCs w:val="false"/>
          <w:i w:val="false"/>
          <w:iCs w:val="false"/>
          <w:color w:val="1F2937"/>
          <w:sz w:val="22"/>
          <w:szCs w:val="22"/>
        </w:rPr>
        <w:t xml:space="preserve">À l'issue de cette leçon, vous saurez reconnaître les principales formes d'arnaques financières, identifier les signaux d'alerte avant tout placement, et utiliser les outils officiels de vérification (listes noires AMF, outil Protect Épargne, registres d'agrément).</w:t>
      </w:r>
    </w:p>
    <w:p>
      <w:pPr>
        <w:spacing w:after="80" w:before="80"/>
      </w:pPr>
      <w:r>
        <w:rPr>
          <w:rFonts w:ascii="Times New Roman" w:cs="Times New Roman" w:eastAsia="Times New Roman" w:hAnsi="Times New Roman"/>
          <w:b w:val="false"/>
          <w:bCs w:val="false"/>
          <w:i w:val="false"/>
          <w:iCs w:val="false"/>
          <w:color w:val="1F2937"/>
          <w:sz w:val="22"/>
          <w:szCs w:val="22"/>
        </w:rPr>
        <w:t xml:space="preserve">Lien avec la leçon précédente : la leçon 16 a traité la transmission, la succession et le démembrement — autant d'opérations patrimoniales où les arnaques sont fréquentes (faux notaires, fausses SCPI successorales, faux conseillers en gestion de patrimoine). Cette leçon 17 fournit les outils pour ne pas se laisser piéger.</w:t>
      </w:r>
    </w:p>
    <w:p>
      <w:pPr>
        <w:spacing w:after="60" w:before="60"/>
      </w:pPr>
      <w:r>
        <w:t xml:space="preserve"/>
      </w:r>
    </w:p>
    <w:p>
      <w:pPr>
        <w:pStyle w:val="Heading2"/>
        <w:spacing w:after="120" w:before="320"/>
      </w:pPr>
      <w:r>
        <w:rPr>
          <w:rFonts w:ascii="Times New Roman" w:cs="Times New Roman" w:eastAsia="Times New Roman" w:hAnsi="Times New Roman"/>
          <w:b/>
          <w:bCs/>
          <w:color w:val="1B3A6B"/>
          <w:sz w:val="30"/>
          <w:szCs w:val="30"/>
        </w:rPr>
        <w:t xml:space="preserve">⚖️ Rappel</w:t>
      </w:r>
    </w:p>
    <w:p>
      <w:pPr>
        <w:shd w:fill="FFF3CD" w:val="clear"/>
        <w:spacing w:after="120" w:before="120"/>
        <w:ind w:left="288" w:right="288"/>
      </w:pPr>
      <w:r>
        <w:rPr>
          <w:rFonts w:ascii="Times New Roman" w:cs="Times New Roman" w:eastAsia="Times New Roman" w:hAnsi="Times New Roman"/>
          <w:b w:val="false"/>
          <w:bCs w:val="false"/>
          <w:i w:val="false"/>
          <w:iCs w:val="false"/>
          <w:color w:val="1F2937"/>
          <w:sz w:val="22"/>
          <w:szCs w:val="22"/>
        </w:rPr>
        <w:t xml:space="preserve">Cette leçon relève de l'éducation financière générale. Elle ne constitue pas un conseil en investissement personnalisé. Les placements comportent un risque de perte en capital. Pour toute décision, consultez un conseiller en gestion de patrimoine (CGP) ou un conseiller en investissements financiers (CIF) agréé.</w:t>
      </w:r>
    </w:p>
    <w:p>
      <w:pPr>
        <w:spacing w:after="60" w:before="60"/>
      </w:pPr>
      <w:r>
        <w:t xml:space="preserve"/>
      </w:r>
    </w:p>
    <w:p>
      <w:pPr>
        <w:pStyle w:val="Heading2"/>
        <w:spacing w:after="120" w:before="320"/>
      </w:pPr>
      <w:r>
        <w:rPr>
          <w:rFonts w:ascii="Times New Roman" w:cs="Times New Roman" w:eastAsia="Times New Roman" w:hAnsi="Times New Roman"/>
          <w:b/>
          <w:bCs/>
          <w:color w:val="1B3A6B"/>
          <w:sz w:val="30"/>
          <w:szCs w:val="30"/>
        </w:rPr>
        <w:t xml:space="preserve">🔬 Théorie (20 %) — Ce que vous devez savoir sur les arnaques financières</w:t>
      </w:r>
    </w:p>
    <w:p>
      <w:pPr>
        <w:pStyle w:val="Heading3"/>
        <w:spacing w:after="80" w:before="200"/>
      </w:pPr>
      <w:r>
        <w:rPr>
          <w:rFonts w:ascii="Times New Roman" w:cs="Times New Roman" w:eastAsia="Times New Roman" w:hAnsi="Times New Roman"/>
          <w:b/>
          <w:bCs/>
          <w:color w:val="1F2937"/>
          <w:sz w:val="26"/>
          <w:szCs w:val="26"/>
        </w:rPr>
        <w:t xml:space="preserve">1. Ampleur du phénomène</w:t>
      </w:r>
    </w:p>
    <w:p>
      <w:pPr>
        <w:spacing w:after="80" w:before="80"/>
      </w:pPr>
      <w:r>
        <w:rPr>
          <w:rFonts w:ascii="Times New Roman" w:cs="Times New Roman" w:eastAsia="Times New Roman" w:hAnsi="Times New Roman"/>
          <w:b w:val="false"/>
          <w:bCs w:val="false"/>
          <w:i w:val="false"/>
          <w:iCs w:val="false"/>
          <w:color w:val="1F2937"/>
          <w:sz w:val="22"/>
          <w:szCs w:val="22"/>
        </w:rPr>
        <w:t xml:space="preserve">Les arnaques financières représentent un risque concret, documenté et croissant en France :</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Plus de 1 300 sites ou acteurs non autorisés ont été recensés et ajoutés aux listes noires de l'AMF et de l'ACPR en 2025 (source : La Finance Pour Tous, juillet 2026 — voir Ressources).</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16 % des Français déclarent avoir déjà été victimes d'une escroquerie sur un placement financier (baromètre AMF 2025, repris par La Finance Pour Tous).</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Pertes moyennes constatées : 70 000 € (faux livrets), 29 000 € (faux placements), 19 000 € (faux crédits) — source : La Finance Pour Tous, avril 2026.</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Plus de 4 500 publicités financières analysées par le Pôle commun AMF-ACPR en 2025 — doublement du volume 2024.</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2. Les grandes familles d'offres frauduleuses et de produits dangereux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Pr>
          <w:p>
            <w:pPr>
              <w:spacing w:after="60" w:before="60"/>
              <w:jc w:val="left"/>
            </w:pPr>
            <w:r>
              <w:rPr>
                <w:rFonts w:ascii="Times New Roman" w:cs="Times New Roman" w:eastAsia="Times New Roman" w:hAnsi="Times New Roman"/>
                <w:b/>
                <w:bCs/>
                <w:color w:val="FFFFFF"/>
                <w:sz w:val="20"/>
                <w:szCs w:val="20"/>
              </w:rPr>
              <w:t xml:space="preserve">Type d'arnaque</w:t>
            </w:r>
          </w:p>
        </w:tc>
        <w:tc>
          <w:tcPr>
            <w:shd w:fill="1B3A6B" w:val="clear"/>
          </w:tcPr>
          <w:p>
            <w:pPr>
              <w:spacing w:after="60" w:before="60"/>
              <w:jc w:val="left"/>
            </w:pPr>
            <w:r>
              <w:rPr>
                <w:rFonts w:ascii="Times New Roman" w:cs="Times New Roman" w:eastAsia="Times New Roman" w:hAnsi="Times New Roman"/>
                <w:b/>
                <w:bCs/>
                <w:color w:val="FFFFFF"/>
                <w:sz w:val="20"/>
                <w:szCs w:val="20"/>
              </w:rPr>
              <w:t xml:space="preserve">Mécanisme</w:t>
            </w:r>
          </w:p>
        </w:tc>
        <w:tc>
          <w:tcPr>
            <w:shd w:fill="1B3A6B" w:val="clear"/>
          </w:tcPr>
          <w:p>
            <w:pPr>
              <w:spacing w:after="60" w:before="60"/>
              <w:jc w:val="left"/>
            </w:pPr>
            <w:r>
              <w:rPr>
                <w:rFonts w:ascii="Times New Roman" w:cs="Times New Roman" w:eastAsia="Times New Roman" w:hAnsi="Times New Roman"/>
                <w:b/>
                <w:bCs/>
                <w:color w:val="FFFFFF"/>
                <w:sz w:val="20"/>
                <w:szCs w:val="20"/>
              </w:rPr>
              <w:t xml:space="preserve">Signal distinctif</w:t>
            </w:r>
          </w:p>
        </w:tc>
      </w:tr>
      <w:tr>
        <w:tc>
          <w:tcPr>
            <w:shd w:fill="F3F4F6" w:val="clear"/>
          </w:tcPr>
          <w:p>
            <w:pPr>
              <w:spacing w:after="60" w:before="60"/>
              <w:jc w:val="left"/>
            </w:pPr>
            <w:r>
              <w:rPr>
                <w:rFonts w:ascii="Times New Roman" w:cs="Times New Roman" w:eastAsia="Times New Roman" w:hAnsi="Times New Roman"/>
                <w:b w:val="false"/>
                <w:bCs w:val="false"/>
                <w:color w:val="1F2937"/>
                <w:sz w:val="20"/>
                <w:szCs w:val="20"/>
              </w:rPr>
              <w:t xml:space="preserve">Faux trading / Forex</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Site promettant de devenir « trader » en quelques semaines, gestionnaire téléphonique incitatif</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Promesse de gains rapides, pression à l'achat, impossibilité de retirer</w:t>
            </w:r>
          </w:p>
        </w:tc>
      </w:tr>
      <w:tr>
        <w:tc>
          <w:tcPr>
            <w:shd w:fill="F3F4F6" w:val="clear"/>
          </w:tcPr>
          <w:p>
            <w:pPr>
              <w:spacing w:after="60" w:before="60"/>
              <w:jc w:val="left"/>
            </w:pPr>
            <w:r>
              <w:rPr>
                <w:rFonts w:ascii="Times New Roman" w:cs="Times New Roman" w:eastAsia="Times New Roman" w:hAnsi="Times New Roman"/>
                <w:b w:val="false"/>
                <w:bCs w:val="false"/>
                <w:color w:val="1F2937"/>
                <w:sz w:val="20"/>
                <w:szCs w:val="20"/>
              </w:rPr>
              <w:t xml:space="preserve">Arnaques crypto</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Rug pull (lancement + effondrement), pump &amp; dump, faux échanges</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Influenceurs rémunérés, token inexistant ou sans valeur réelle</w:t>
            </w:r>
          </w:p>
        </w:tc>
      </w:tr>
      <w:tr>
        <w:tc>
          <w:tcPr>
            <w:shd w:fill="F3F4F6" w:val="clear"/>
          </w:tcPr>
          <w:p>
            <w:pPr>
              <w:spacing w:after="60" w:before="60"/>
              <w:jc w:val="left"/>
            </w:pPr>
            <w:r>
              <w:rPr>
                <w:rFonts w:ascii="Times New Roman" w:cs="Times New Roman" w:eastAsia="Times New Roman" w:hAnsi="Times New Roman"/>
                <w:b w:val="false"/>
                <w:bCs w:val="false"/>
                <w:color w:val="1F2937"/>
                <w:sz w:val="20"/>
                <w:szCs w:val="20"/>
              </w:rPr>
              <w:t xml:space="preserve">Biens divers (placements atypiques)</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Vin, diamants, or, whisky, cheptel, containers, panneaux solaires, terres rares présentés comme placements</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Rendement élevé « garanti », absence de réglementation AMF</w:t>
            </w:r>
          </w:p>
        </w:tc>
      </w:tr>
      <w:tr>
        <w:tc>
          <w:tcPr>
            <w:shd w:fill="F3F4F6" w:val="clear"/>
          </w:tcPr>
          <w:p>
            <w:pPr>
              <w:spacing w:after="60" w:before="60"/>
              <w:jc w:val="left"/>
            </w:pPr>
            <w:r>
              <w:rPr>
                <w:rFonts w:ascii="Times New Roman" w:cs="Times New Roman" w:eastAsia="Times New Roman" w:hAnsi="Times New Roman"/>
                <w:b w:val="false"/>
                <w:bCs w:val="false"/>
                <w:color w:val="1F2937"/>
                <w:sz w:val="20"/>
                <w:szCs w:val="20"/>
              </w:rPr>
              <w:t xml:space="preserve">Faux livrets d'épargne</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Livret à haut rendement proposé par un établissement inexistant ou usurpant un nom connu</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Taux irréaliste (5-15 %), aucun IBAN français</w:t>
            </w:r>
          </w:p>
        </w:tc>
      </w:tr>
      <w:tr>
        <w:tc>
          <w:tcPr>
            <w:shd w:fill="F3F4F6" w:val="clear"/>
          </w:tcPr>
          <w:p>
            <w:pPr>
              <w:spacing w:after="60" w:before="60"/>
              <w:jc w:val="left"/>
            </w:pPr>
            <w:r>
              <w:rPr>
                <w:rFonts w:ascii="Times New Roman" w:cs="Times New Roman" w:eastAsia="Times New Roman" w:hAnsi="Times New Roman"/>
                <w:b w:val="false"/>
                <w:bCs w:val="false"/>
                <w:color w:val="1F2937"/>
                <w:sz w:val="20"/>
                <w:szCs w:val="20"/>
              </w:rPr>
              <w:t xml:space="preserve">Usurpation d'identité</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Faux conseillers se présentant comme banques, AMF, Banque de France</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Numéro masqué ou inconnu, demande de virement immédiat</w:t>
            </w:r>
          </w:p>
        </w:tc>
      </w:tr>
      <w:tr>
        <w:tc>
          <w:tcPr>
            <w:shd w:fill="F3F4F6" w:val="clear"/>
          </w:tcPr>
          <w:p>
            <w:pPr>
              <w:spacing w:after="60" w:before="60"/>
              <w:jc w:val="left"/>
            </w:pPr>
            <w:r>
              <w:rPr>
                <w:rFonts w:ascii="Times New Roman" w:cs="Times New Roman" w:eastAsia="Times New Roman" w:hAnsi="Times New Roman"/>
                <w:b w:val="false"/>
                <w:bCs w:val="false"/>
                <w:color w:val="1F2937"/>
                <w:sz w:val="20"/>
                <w:szCs w:val="20"/>
              </w:rPr>
              <w:t xml:space="preserve">Arnaque au recouvrement</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Contact après une perte pour « récupérer l'argent » contre des frais</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Frappe les victimes déjà lésées ; se prétend autorité officielle</w:t>
            </w:r>
          </w:p>
        </w:tc>
      </w:tr>
      <w:tr>
        <w:tc>
          <w:tcPr>
            <w:shd w:fill="F3F4F6" w:val="clear"/>
          </w:tcPr>
          <w:p>
            <w:pPr>
              <w:spacing w:after="60" w:before="60"/>
              <w:jc w:val="left"/>
            </w:pPr>
            <w:r>
              <w:rPr>
                <w:rFonts w:ascii="Times New Roman" w:cs="Times New Roman" w:eastAsia="Times New Roman" w:hAnsi="Times New Roman"/>
                <w:b w:val="false"/>
                <w:bCs w:val="false"/>
                <w:color w:val="1F2937"/>
                <w:sz w:val="20"/>
                <w:szCs w:val="20"/>
              </w:rPr>
              <w:t xml:space="preserve">Systèmes de Ponzi</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Rémunère les premiers avec l'argent des nouveaux, sans investissement réel</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Rendements très réguliers, recrutement d'autres participants requis</w:t>
            </w:r>
          </w:p>
        </w:tc>
      </w:tr>
    </w:tbl>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3. Les produits « atypiques » (biens divers) — un cas particulier</w:t>
      </w:r>
    </w:p>
    <w:p>
      <w:pPr>
        <w:spacing w:after="80" w:before="80"/>
      </w:pPr>
      <w:r>
        <w:rPr>
          <w:rFonts w:ascii="Times New Roman" w:cs="Times New Roman" w:eastAsia="Times New Roman" w:hAnsi="Times New Roman"/>
          <w:b w:val="false"/>
          <w:bCs w:val="false"/>
          <w:i w:val="false"/>
          <w:iCs w:val="false"/>
          <w:color w:val="1F2937"/>
          <w:sz w:val="22"/>
          <w:szCs w:val="22"/>
        </w:rPr>
        <w:t xml:space="preserve">Les placements en biens divers (vin, diamants, cheptel, containers, panneaux solaires…) ne relèvent pas de la réglementation financière classique. Ils nécessitent un enregistrement spécifique auprès de l'AMF en tant qu'opérateur en biens divers. Or :</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Les propositions de biens divers affichent typiquement des rendements élevés et n'évoquent le risque de perte en capital à aucun moment (synthèse, non citation).</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Il n'existe aucun fonds de garantie pour ces placements, contrairement aux dépôts bancaires (garantis à 100 000 € par le FGDR).</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La liste noire AMF « biens divers » regroupe : champagne, cheptel, conteneur, diamants, montres, or, placements verts, produits alimentaires, terres rares, vin, whisky.</w:t>
      </w:r>
    </w:p>
    <w:p>
      <w:pPr>
        <w:spacing w:after="80" w:before="80"/>
      </w:pPr>
      <w:r>
        <w:rPr>
          <w:rFonts w:ascii="Times New Roman" w:cs="Times New Roman" w:eastAsia="Times New Roman" w:hAnsi="Times New Roman"/>
          <w:b w:val="false"/>
          <w:bCs w:val="false"/>
          <w:i w:val="false"/>
          <w:iCs w:val="false"/>
          <w:color w:val="1F2937"/>
          <w:sz w:val="22"/>
          <w:szCs w:val="22"/>
        </w:rPr>
        <w:t xml:space="preserve">Réflexe : vérifier que l'opérateur dispose d'un numéro d'enregistrement AMF en consultant la page de vérification des acteurs agréés sur le site de l'AMF (amf-france.org, rubrique listes blanches).</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4. Les outils officiels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Pr>
          <w:p>
            <w:pPr>
              <w:spacing w:after="60" w:before="60"/>
              <w:jc w:val="left"/>
            </w:pPr>
            <w:r>
              <w:rPr>
                <w:rFonts w:ascii="Times New Roman" w:cs="Times New Roman" w:eastAsia="Times New Roman" w:hAnsi="Times New Roman"/>
                <w:b/>
                <w:bCs/>
                <w:color w:val="FFFFFF"/>
                <w:sz w:val="20"/>
                <w:szCs w:val="20"/>
              </w:rPr>
              <w:t xml:space="preserve">Outil</w:t>
            </w:r>
          </w:p>
        </w:tc>
        <w:tc>
          <w:tcPr>
            <w:shd w:fill="1B3A6B" w:val="clear"/>
          </w:tcPr>
          <w:p>
            <w:pPr>
              <w:spacing w:after="60" w:before="60"/>
              <w:jc w:val="left"/>
            </w:pPr>
            <w:r>
              <w:rPr>
                <w:rFonts w:ascii="Times New Roman" w:cs="Times New Roman" w:eastAsia="Times New Roman" w:hAnsi="Times New Roman"/>
                <w:b/>
                <w:bCs/>
                <w:color w:val="FFFFFF"/>
                <w:sz w:val="20"/>
                <w:szCs w:val="20"/>
              </w:rPr>
              <w:t xml:space="preserve">Usage</w:t>
            </w:r>
          </w:p>
        </w:tc>
        <w:tc>
          <w:tcPr>
            <w:shd w:fill="1B3A6B" w:val="clear"/>
          </w:tcPr>
          <w:p>
            <w:pPr>
              <w:spacing w:after="60" w:before="60"/>
              <w:jc w:val="left"/>
            </w:pPr>
            <w:r>
              <w:rPr>
                <w:rFonts w:ascii="Times New Roman" w:cs="Times New Roman" w:eastAsia="Times New Roman" w:hAnsi="Times New Roman"/>
                <w:b/>
                <w:bCs/>
                <w:color w:val="FFFFFF"/>
                <w:sz w:val="20"/>
                <w:szCs w:val="20"/>
              </w:rPr>
              <w:t xml:space="preserve">URL</w:t>
            </w:r>
          </w:p>
        </w:tc>
      </w:tr>
      <w:tr>
        <w:tc>
          <w:tcPr>
            <w:shd w:fill="F3F4F6" w:val="clear"/>
          </w:tcPr>
          <w:p>
            <w:pPr>
              <w:spacing w:after="60" w:before="60"/>
              <w:jc w:val="left"/>
            </w:pPr>
            <w:r>
              <w:rPr>
                <w:rFonts w:ascii="Times New Roman" w:cs="Times New Roman" w:eastAsia="Times New Roman" w:hAnsi="Times New Roman"/>
                <w:b w:val="false"/>
                <w:bCs w:val="false"/>
                <w:color w:val="1F2937"/>
                <w:sz w:val="20"/>
                <w:szCs w:val="20"/>
              </w:rPr>
              <w:t xml:space="preserve">Listes noires AMF</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Vérifier si une entité y figure avant de signer</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amf-france.org → espace épargnants → protéger son épargne</w:t>
            </w:r>
          </w:p>
        </w:tc>
      </w:tr>
      <w:tr>
        <w:tc>
          <w:tcPr>
            <w:shd w:fill="F3F4F6" w:val="clear"/>
          </w:tcPr>
          <w:p>
            <w:pPr>
              <w:spacing w:after="60" w:before="60"/>
              <w:jc w:val="left"/>
            </w:pPr>
            <w:r>
              <w:rPr>
                <w:rFonts w:ascii="Times New Roman" w:cs="Times New Roman" w:eastAsia="Times New Roman" w:hAnsi="Times New Roman"/>
                <w:b w:val="false"/>
                <w:bCs w:val="false"/>
                <w:color w:val="1F2937"/>
                <w:sz w:val="20"/>
                <w:szCs w:val="20"/>
              </w:rPr>
              <w:t xml:space="preserve">AMF Protect Épargne</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Signaler une arnaque, vérifier, s'alerter</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protectepargne.amf-france.org</w:t>
            </w:r>
          </w:p>
        </w:tc>
      </w:tr>
      <w:tr>
        <w:tc>
          <w:tcPr>
            <w:shd w:fill="F3F4F6" w:val="clear"/>
          </w:tcPr>
          <w:p>
            <w:pPr>
              <w:spacing w:after="60" w:before="60"/>
              <w:jc w:val="left"/>
            </w:pPr>
            <w:r>
              <w:rPr>
                <w:rFonts w:ascii="Times New Roman" w:cs="Times New Roman" w:eastAsia="Times New Roman" w:hAnsi="Times New Roman"/>
                <w:b w:val="false"/>
                <w:bCs w:val="false"/>
                <w:color w:val="1F2937"/>
                <w:sz w:val="20"/>
                <w:szCs w:val="20"/>
              </w:rPr>
              <w:t xml:space="preserve">Listes blanches (REGAFI, ORIAS)</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Vérifier qu'un professionnel est bien autorisé</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amf-france.org → listes blanches</w:t>
            </w:r>
          </w:p>
        </w:tc>
      </w:tr>
      <w:tr>
        <w:tc>
          <w:tcPr>
            <w:shd w:fill="F3F4F6" w:val="clear"/>
          </w:tcPr>
          <w:p>
            <w:pPr>
              <w:spacing w:after="60" w:before="60"/>
              <w:jc w:val="left"/>
            </w:pPr>
            <w:r>
              <w:rPr>
                <w:rFonts w:ascii="Times New Roman" w:cs="Times New Roman" w:eastAsia="Times New Roman" w:hAnsi="Times New Roman"/>
                <w:b w:val="false"/>
                <w:bCs w:val="false"/>
                <w:color w:val="1F2937"/>
                <w:sz w:val="20"/>
                <w:szCs w:val="20"/>
              </w:rPr>
              <w:t xml:space="preserve">I-SCAN</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Blacklists de plus de 150 régulateurs mondiaux</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Via la page listes noires AMF</w:t>
            </w:r>
          </w:p>
        </w:tc>
      </w:tr>
      <w:tr>
        <w:tc>
          <w:tcPr>
            <w:shd w:fill="F3F4F6" w:val="clear"/>
          </w:tcPr>
          <w:p>
            <w:pPr>
              <w:spacing w:after="60" w:before="60"/>
              <w:jc w:val="left"/>
            </w:pPr>
            <w:r>
              <w:rPr>
                <w:rFonts w:ascii="Times New Roman" w:cs="Times New Roman" w:eastAsia="Times New Roman" w:hAnsi="Times New Roman"/>
                <w:b w:val="false"/>
                <w:bCs w:val="false"/>
                <w:color w:val="1F2937"/>
                <w:sz w:val="20"/>
                <w:szCs w:val="20"/>
              </w:rPr>
              <w:t xml:space="preserve">Épargne Info Service</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Poser une question par téléphone</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01 53 45 62 00 (lun-ven 9h-12h30)</w:t>
            </w:r>
          </w:p>
        </w:tc>
      </w:tr>
      <w:tr>
        <w:tc>
          <w:tcPr>
            <w:shd w:fill="F3F4F6" w:val="clear"/>
          </w:tcPr>
          <w:p>
            <w:pPr>
              <w:spacing w:after="60" w:before="60"/>
              <w:jc w:val="left"/>
            </w:pPr>
            <w:r>
              <w:rPr>
                <w:rFonts w:ascii="Times New Roman" w:cs="Times New Roman" w:eastAsia="Times New Roman" w:hAnsi="Times New Roman"/>
                <w:b w:val="false"/>
                <w:bCs w:val="false"/>
                <w:color w:val="1F2937"/>
                <w:sz w:val="20"/>
                <w:szCs w:val="20"/>
              </w:rPr>
              <w:t xml:space="preserve">ABE Infoservice</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Portail commun AMF/ACPR/Banque de France — arnaques bancaires et financières</w:t>
            </w:r>
          </w:p>
        </w:tc>
        <w:tc>
          <w:tcPr>
            <w:shd w:fill="FFFFFF" w:val="clear"/>
          </w:tcPr>
          <w:p>
            <w:pPr>
              <w:spacing w:after="60" w:before="60"/>
              <w:jc w:val="left"/>
            </w:pPr>
            <w:r>
              <w:rPr>
                <w:rFonts w:ascii="Times New Roman" w:cs="Times New Roman" w:eastAsia="Times New Roman" w:hAnsi="Times New Roman"/>
                <w:b w:val="false"/>
                <w:bCs w:val="false"/>
                <w:color w:val="1F2937"/>
                <w:sz w:val="20"/>
                <w:szCs w:val="20"/>
              </w:rPr>
              <w:t xml:space="preserve">abe-infoservice.fr</w:t>
            </w:r>
          </w:p>
        </w:tc>
      </w:tr>
    </w:tbl>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5. Les 10 signaux d'alerte universels</w:t>
      </w:r>
    </w:p>
    <w:p>
      <w:pPr>
        <w:spacing w:after="80" w:before="80"/>
      </w:pPr>
      <w:r>
        <w:rPr>
          <w:rFonts w:ascii="Times New Roman" w:cs="Times New Roman" w:eastAsia="Times New Roman" w:hAnsi="Times New Roman"/>
          <w:b w:val="false"/>
          <w:bCs w:val="false"/>
          <w:i w:val="false"/>
          <w:iCs w:val="false"/>
          <w:color w:val="1F2937"/>
          <w:sz w:val="22"/>
          <w:szCs w:val="22"/>
        </w:rPr>
        <w:t xml:space="preserve">Ces signaux sont issus des recommandations de l'AMF, de l'ABE Infoservice et de La Finance Pour Tous (sources consultées lors de cette exécution) :</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① Rendement élevé garanti sans risque — règle absolue : « Il n'existe pas de rendements élevés sans risques élevés. »</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② Démarchage non sollicité (appel téléphonique, e-mail, réseaux sociaux) par une société inconnue.</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③ Pression à décider vite (offre limitée, nombre de places restreint).</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④ Demande de signature d'un formulaire pour avoir de simples informations.</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⑤ Numéro de téléphone de l'interlocuteur qui change régulièrement.</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⑥ Demande de virement vers un IBAN étranger ou via des services comme Western Union.</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⑦ Frais cachés ou non communiqués avant la signature.</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⑧ Impossibilité de retirer ses fonds ou délais injustifiés.</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⑨ Faux articles de presse vantant le placement (deepfakes, usurpation de médias).</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⑩ Promesse de récupérer de l'argent déjà perdu, contre paiement préalable de frais.</w:t>
      </w:r>
    </w:p>
    <w:p>
      <w:pPr>
        <w:shd w:fill="E8F4FD" w:val="clear"/>
        <w:spacing w:after="120" w:before="120"/>
        <w:ind w:left="288" w:right="288"/>
      </w:pPr>
      <w:r>
        <w:rPr>
          <w:rFonts w:ascii="Times New Roman" w:cs="Times New Roman" w:eastAsia="Times New Roman" w:hAnsi="Times New Roman"/>
          <w:b w:val="false"/>
          <w:bCs w:val="false"/>
          <w:i w:val="false"/>
          <w:iCs w:val="false"/>
          <w:color w:val="1F2937"/>
          <w:sz w:val="22"/>
          <w:szCs w:val="22"/>
        </w:rPr>
        <w:t xml:space="preserve">Rappel AMF : « L'AMF ne contacte pas de sa propre initiative les épargnants par téléphone ou messagerie privée. » (Source : page espace épargnants AMF, consultée le 03/10/2026.)</w:t>
      </w:r>
    </w:p>
    <w:p>
      <w:pPr>
        <w:spacing w:after="60" w:before="60"/>
      </w:pPr>
      <w:r>
        <w:t xml:space="preserve"/>
      </w:r>
    </w:p>
    <w:p>
      <w:pPr>
        <w:pStyle w:val="Heading2"/>
        <w:spacing w:after="120" w:before="320"/>
      </w:pPr>
      <w:r>
        <w:rPr>
          <w:rFonts w:ascii="Times New Roman" w:cs="Times New Roman" w:eastAsia="Times New Roman" w:hAnsi="Times New Roman"/>
          <w:b/>
          <w:bCs/>
          <w:color w:val="1B3A6B"/>
          <w:sz w:val="30"/>
          <w:szCs w:val="30"/>
        </w:rPr>
        <w:t xml:space="preserve">🛠️ Pratique (80 %) — Exercices</w:t>
      </w:r>
    </w:p>
    <w:p>
      <w:pPr>
        <w:pStyle w:val="Heading3"/>
        <w:spacing w:after="80" w:before="200"/>
      </w:pPr>
      <w:r>
        <w:rPr>
          <w:rFonts w:ascii="Times New Roman" w:cs="Times New Roman" w:eastAsia="Times New Roman" w:hAnsi="Times New Roman"/>
          <w:b/>
          <w:bCs/>
          <w:color w:val="1F2937"/>
          <w:sz w:val="26"/>
          <w:szCs w:val="26"/>
        </w:rPr>
        <w:t xml:space="preserve">Exercice 1 — Identifier les signaux d'alerte</w:t>
      </w:r>
    </w:p>
    <w:p>
      <w:pPr>
        <w:spacing w:after="80" w:before="80"/>
      </w:pPr>
      <w:r>
        <w:rPr>
          <w:rFonts w:ascii="Times New Roman" w:cs="Times New Roman" w:eastAsia="Times New Roman" w:hAnsi="Times New Roman"/>
          <w:b w:val="false"/>
          <w:bCs w:val="false"/>
          <w:i w:val="false"/>
          <w:iCs w:val="false"/>
          <w:color w:val="1F2937"/>
          <w:sz w:val="22"/>
          <w:szCs w:val="22"/>
        </w:rPr>
        <w:t xml:space="preserve">Lisez chacune des quatre propositions ci-dessous. Pour chacune, indiquez : (a) quels signaux d'alerte sont présents, (b) quelle famille d'arnaque cela rappelle, (c) quelle démarche de vérification vous effectueriez.</w:t>
      </w:r>
    </w:p>
    <w:p>
      <w:pPr>
        <w:spacing w:after="60" w:before="60"/>
      </w:pPr>
      <w:r>
        <w:t xml:space="preserve"/>
      </w:r>
    </w:p>
    <w:p>
      <w:pPr>
        <w:shd w:fill="F3F4F6" w:val="clear"/>
        <w:spacing w:after="120" w:before="120"/>
        <w:ind w:left="288" w:right="288"/>
      </w:pPr>
      <w:r>
        <w:rPr>
          <w:rFonts w:ascii="Times New Roman" w:cs="Times New Roman" w:eastAsia="Times New Roman" w:hAnsi="Times New Roman"/>
          <w:b/>
          <w:bCs/>
          <w:i w:val="false"/>
          <w:iCs w:val="false"/>
          <w:color w:val="1F2937"/>
          <w:sz w:val="22"/>
          <w:szCs w:val="22"/>
        </w:rPr>
        <w:t xml:space="preserve">📋 Proposition A</w:t>
      </w:r>
    </w:p>
    <w:p>
      <w:pPr>
        <w:spacing w:after="80" w:before="80"/>
      </w:pPr>
      <w:r>
        <w:rPr>
          <w:rFonts w:ascii="Times New Roman" w:cs="Times New Roman" w:eastAsia="Times New Roman" w:hAnsi="Times New Roman"/>
          <w:b w:val="false"/>
          <w:bCs w:val="false"/>
          <w:i w:val="false"/>
          <w:iCs w:val="false"/>
          <w:color w:val="1F2937"/>
          <w:sz w:val="22"/>
          <w:szCs w:val="22"/>
        </w:rPr>
        <w:t xml:space="preserve">Vous recevez un appel d'un « conseiller patrimonial » qui vous propose d'investir dans un livret rémunéré à 9 % par an, sans risque, disponible sous 48 h. Il vous demande votre RIB pour « réserver votre place » et dit que l'offre expire ce soir.</w:t>
      </w:r>
    </w:p>
    <w:p>
      <w:pPr>
        <w:spacing w:after="60" w:before="60"/>
      </w:pPr>
      <w:r>
        <w:t xml:space="preserve"/>
      </w:r>
    </w:p>
    <w:p>
      <w:pPr>
        <w:shd w:fill="F3F4F6" w:val="clear"/>
        <w:spacing w:after="120" w:before="120"/>
        <w:ind w:left="288" w:right="288"/>
      </w:pPr>
      <w:r>
        <w:rPr>
          <w:rFonts w:ascii="Times New Roman" w:cs="Times New Roman" w:eastAsia="Times New Roman" w:hAnsi="Times New Roman"/>
          <w:b/>
          <w:bCs/>
          <w:i w:val="false"/>
          <w:iCs w:val="false"/>
          <w:color w:val="1F2937"/>
          <w:sz w:val="22"/>
          <w:szCs w:val="22"/>
        </w:rPr>
        <w:t xml:space="preserve">📋 Proposition B</w:t>
      </w:r>
    </w:p>
    <w:p>
      <w:pPr>
        <w:spacing w:after="80" w:before="80"/>
      </w:pPr>
      <w:r>
        <w:rPr>
          <w:rFonts w:ascii="Times New Roman" w:cs="Times New Roman" w:eastAsia="Times New Roman" w:hAnsi="Times New Roman"/>
          <w:b w:val="false"/>
          <w:bCs w:val="false"/>
          <w:i w:val="false"/>
          <w:iCs w:val="false"/>
          <w:color w:val="1F2937"/>
          <w:sz w:val="22"/>
          <w:szCs w:val="22"/>
        </w:rPr>
        <w:t xml:space="preserve">Un post Instagram promu vous invite à rejoindre une communauté d'investisseurs en whisky japonais rare. Rendement annoncé : 12 %. Un « expert » bien suivi vous explique que c'est un placement tangible, hors fiscalité habituelle, et que la demande asiatique tire les prix.</w:t>
      </w:r>
    </w:p>
    <w:p>
      <w:pPr>
        <w:spacing w:after="60" w:before="60"/>
      </w:pPr>
      <w:r>
        <w:t xml:space="preserve"/>
      </w:r>
    </w:p>
    <w:p>
      <w:pPr>
        <w:shd w:fill="F3F4F6" w:val="clear"/>
        <w:spacing w:after="120" w:before="120"/>
        <w:ind w:left="288" w:right="288"/>
      </w:pPr>
      <w:r>
        <w:rPr>
          <w:rFonts w:ascii="Times New Roman" w:cs="Times New Roman" w:eastAsia="Times New Roman" w:hAnsi="Times New Roman"/>
          <w:b/>
          <w:bCs/>
          <w:i w:val="false"/>
          <w:iCs w:val="false"/>
          <w:color w:val="1F2937"/>
          <w:sz w:val="22"/>
          <w:szCs w:val="22"/>
        </w:rPr>
        <w:t xml:space="preserve">📋 Proposition C</w:t>
      </w:r>
    </w:p>
    <w:p>
      <w:pPr>
        <w:spacing w:after="80" w:before="80"/>
      </w:pPr>
      <w:r>
        <w:rPr>
          <w:rFonts w:ascii="Times New Roman" w:cs="Times New Roman" w:eastAsia="Times New Roman" w:hAnsi="Times New Roman"/>
          <w:b w:val="false"/>
          <w:bCs w:val="false"/>
          <w:i w:val="false"/>
          <w:iCs w:val="false"/>
          <w:color w:val="1F2937"/>
          <w:sz w:val="22"/>
          <w:szCs w:val="22"/>
        </w:rPr>
        <w:t xml:space="preserve">Trois mois après avoir perdu 15 000 € dans un faux placement Forex, vous êtes contacté par un cabinet se présentant comme mandaté par la Banque de France, avec pour prétexte le recouvrement des sommes perdues par les victimes. Il demande 500 € de frais de dossier. (Scénario fictif illustratif.)</w:t>
      </w:r>
    </w:p>
    <w:p>
      <w:pPr>
        <w:spacing w:after="60" w:before="60"/>
      </w:pPr>
      <w:r>
        <w:t xml:space="preserve"/>
      </w:r>
    </w:p>
    <w:p>
      <w:pPr>
        <w:shd w:fill="F3F4F6" w:val="clear"/>
        <w:spacing w:after="120" w:before="120"/>
        <w:ind w:left="288" w:right="288"/>
      </w:pPr>
      <w:r>
        <w:rPr>
          <w:rFonts w:ascii="Times New Roman" w:cs="Times New Roman" w:eastAsia="Times New Roman" w:hAnsi="Times New Roman"/>
          <w:b/>
          <w:bCs/>
          <w:i w:val="false"/>
          <w:iCs w:val="false"/>
          <w:color w:val="1F2937"/>
          <w:sz w:val="22"/>
          <w:szCs w:val="22"/>
        </w:rPr>
        <w:t xml:space="preserve">📋 Proposition D</w:t>
      </w:r>
    </w:p>
    <w:p>
      <w:pPr>
        <w:spacing w:after="80" w:before="80"/>
      </w:pPr>
      <w:r>
        <w:rPr>
          <w:rFonts w:ascii="Times New Roman" w:cs="Times New Roman" w:eastAsia="Times New Roman" w:hAnsi="Times New Roman"/>
          <w:b w:val="false"/>
          <w:bCs w:val="false"/>
          <w:i w:val="false"/>
          <w:iCs w:val="false"/>
          <w:color w:val="1F2937"/>
          <w:sz w:val="22"/>
          <w:szCs w:val="22"/>
        </w:rPr>
        <w:t xml:space="preserve">Une société d'assurance-vie peu connue vous propose un contrat via une plateforme internet au design soigné. Taux fonds euros : 4,8 %. Elle figure dans les résultats Google et possède un numéro SIRET.</w:t>
      </w:r>
    </w:p>
    <w:p>
      <w:pPr>
        <w:spacing w:after="60" w:before="60"/>
      </w:pPr>
      <w:r>
        <w:t xml:space="preserve"/>
      </w:r>
    </w:p>
    <w:p>
      <w:pPr>
        <w:spacing w:after="80" w:before="80"/>
      </w:pPr>
      <w:r>
        <w:rPr>
          <w:rFonts w:ascii="Times New Roman" w:cs="Times New Roman" w:eastAsia="Times New Roman" w:hAnsi="Times New Roman"/>
          <w:b/>
          <w:bCs/>
          <w:i w:val="false"/>
          <w:iCs w:val="false"/>
          <w:color w:val="1F2937"/>
          <w:sz w:val="22"/>
          <w:szCs w:val="22"/>
        </w:rPr>
        <w:t xml:space="preserve">Piste de corrigé :</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A : signaux ①③④⑤⑥ cumulés. Famille : faux livret. Démarche : rechercher la société sur les listes noires AMF, vérifier son agrément sur REGAFI.</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B : signaux ①② (démarchage via pub ciblée) + absence de mention du risque. Famille : bien divers. Démarche : vérifier que l'opérateur dispose d'un numéro d'enregistrement AMF dans la catégorie « biens divers ».</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C : signal ⑩ — arnaque au recouvrement (frappe les victimes déjà lésées). Ne jamais payer. Signaler à AMF Protect Épargne.</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D : signal moins évident — la présence sur Google et le SIRET ne prouvent pas l'agrément. Démarche : vérifier sur REGAFI et sur les listes blanches AMF que la société est autorisée à proposer des contrats d'assurance-vie.</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Vérifier une société en 5 étapes</w:t>
      </w:r>
    </w:p>
    <w:p>
      <w:pPr>
        <w:spacing w:after="80" w:before="80"/>
      </w:pPr>
      <w:r>
        <w:rPr>
          <w:rFonts w:ascii="Times New Roman" w:cs="Times New Roman" w:eastAsia="Times New Roman" w:hAnsi="Times New Roman"/>
          <w:b w:val="false"/>
          <w:bCs w:val="false"/>
          <w:i w:val="false"/>
          <w:iCs w:val="false"/>
          <w:color w:val="1F2937"/>
          <w:sz w:val="22"/>
          <w:szCs w:val="22"/>
        </w:rPr>
        <w:t xml:space="preserve">Vous avez reçu une proposition de placement d'une société nommée « AlphaWealth Conseil ». Suivez la démarche étape par étape et notez ce que vous trouvez (ou ne trouvez pas) à chaque étape.</w:t>
      </w:r>
    </w:p>
    <w:p>
      <w:pPr>
        <w:spacing w:after="60" w:before="60"/>
      </w:pPr>
      <w:r>
        <w:t xml:space="preserve"/>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Étape 1 — Tapez le nom exact dans les listes noires AMF (URL disponible en section Ressources). Le nom y figure ? → STOP, arnaque probable.</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Étape 2 — Vérifiez sur I-SCAN (accessible depuis la page listes noires AMF) si la société figure dans les blacklists d'un autre régulateur mondial.</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Étape 3 — Recherchez la société sur les listes blanches AMF (prestataires agréés) et sur le registre ORIAS (intermédiaires en assurances, banque, finance) : https://www.orias.fr.</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Étape 4 — Lancez une recherche web « [nom de la société] arnaque » et « [nom de la société] avis ». Consultez les forums spécialisés.</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Étape 5 — En cas de doute persistant, appelez Épargne Info Service au 01 53 45 62 00 avant tout versement.</w:t>
      </w:r>
    </w:p>
    <w:p>
      <w:pPr>
        <w:spacing w:after="60" w:before="60"/>
      </w:pPr>
      <w: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Question de réflexion : que concluez-vous si la société n'est pas dans les listes noires, mais n'apparaît pas non plus dans les listes blanches ?</w:t>
      </w:r>
    </w:p>
    <w:p>
      <w:pPr>
        <w:shd w:fill="FFF3CD" w:val="clear"/>
        <w:spacing w:after="120" w:before="120"/>
        <w:ind w:left="288" w:right="288"/>
      </w:pPr>
      <w:r>
        <w:rPr>
          <w:rFonts w:ascii="Times New Roman" w:cs="Times New Roman" w:eastAsia="Times New Roman" w:hAnsi="Times New Roman"/>
          <w:b w:val="false"/>
          <w:bCs w:val="false"/>
          <w:i w:val="false"/>
          <w:iCs w:val="false"/>
          <w:color w:val="1F2937"/>
          <w:sz w:val="22"/>
          <w:szCs w:val="22"/>
        </w:rPr>
        <w:t xml:space="preserve">Réponse : l'absence des listes noires ne suffit pas. L'AMF l'indique explicitement : « vous devez tout de même vérifier qu'elle dispose des autorisations nécessaires pour exercer son activité en France. » Une société absente des deux listes = inconnu → prudence maximale.</w:t>
      </w:r>
    </w:p>
    <w:p>
      <w:pPr>
        <w:spacing w:after="60" w:before="6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Décoder une offre de bien divers</w:t>
      </w:r>
    </w:p>
    <w:p>
      <w:pPr>
        <w:spacing w:after="80" w:before="80"/>
      </w:pPr>
      <w:r>
        <w:rPr>
          <w:rFonts w:ascii="Times New Roman" w:cs="Times New Roman" w:eastAsia="Times New Roman" w:hAnsi="Times New Roman"/>
          <w:b w:val="false"/>
          <w:bCs w:val="false"/>
          <w:i w:val="false"/>
          <w:iCs w:val="false"/>
          <w:color w:val="1F2937"/>
          <w:sz w:val="22"/>
          <w:szCs w:val="22"/>
        </w:rPr>
        <w:t xml:space="preserve">Voici un extrait (fictif) d'une plaquette commerciale pour un placement :</w:t>
      </w:r>
    </w:p>
    <w:p>
      <w:pPr>
        <w:spacing w:after="60" w:before="60"/>
      </w:pPr>
      <w:r>
        <w:t xml:space="preserve"/>
      </w:r>
    </w:p>
    <w:p>
      <w:pPr>
        <w:spacing w:after="80" w:before="80"/>
        <w:ind w:left="576"/>
      </w:pPr>
      <w:r>
        <w:rPr>
          <w:rFonts w:ascii="Times New Roman" w:cs="Times New Roman" w:eastAsia="Times New Roman" w:hAnsi="Times New Roman"/>
          <w:i/>
          <w:iCs/>
          <w:color w:val="1B3A6B"/>
          <w:sz w:val="22"/>
          <w:szCs w:val="22"/>
        </w:rPr>
        <w:t xml:space="preserve">« Investissez dans des bouteilles de whisky single malt millésimées. Rendement moyen constaté : 11 % par an sur 5 ans. Capital sécurisé, stockage sous douane, revente garantie sur notre plateforme partenaire. Nombre de places limité : réservez avant le 15 octobre. »</w:t>
      </w:r>
    </w:p>
    <w:p>
      <w:pPr>
        <w:spacing w:after="60" w:before="60"/>
      </w:pPr>
      <w: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Questions :</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1. Recensez tous les éléments de ce texte qui correspondent à un ou plusieurs signaux d'alerte de la liste officielle.</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2. Quelles informations OBLIGATOIRES pour un opérateur en biens divers sont absentes de cette plaquette ?</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3. Le terme « capital sécurisé » peut-il être légalement utilisé pour ce type de placement ? Justifiez.</w:t>
      </w:r>
    </w:p>
    <w:p>
      <w:pPr>
        <w:spacing w:after="60" w:before="60"/>
      </w:pPr>
      <w:r>
        <w:t xml:space="preserve"/>
      </w:r>
    </w:p>
    <w:p>
      <w:pPr>
        <w:spacing w:after="80" w:before="80"/>
      </w:pPr>
      <w:r>
        <w:rPr>
          <w:rFonts w:ascii="Times New Roman" w:cs="Times New Roman" w:eastAsia="Times New Roman" w:hAnsi="Times New Roman"/>
          <w:b/>
          <w:bCs/>
          <w:i w:val="false"/>
          <w:iCs w:val="false"/>
          <w:color w:val="1F2937"/>
          <w:sz w:val="22"/>
          <w:szCs w:val="22"/>
        </w:rPr>
        <w:t xml:space="preserve">Piste de corrigé :</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1. Signaux présents : ① (rendement élevé annoncé), ③ (urgence), absence totale de mention du risque de perte en capital.</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2. Absences : numéro d'enregistrement AMF comme opérateur en biens divers, document d'information réglementaire (DIP), mention explicite des risques.</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3. Non : les biens divers ne sont couverts par aucun fonds de garantie. L'expression « capital sécurisé » est trompeuse pour un actif dont la valeur dépend du marché secondaire du whisky. Un opérateur agréé AMF a l'obligation de mentionner le risque de perte.</w:t>
      </w:r>
    </w:p>
    <w:p>
      <w:pPr>
        <w:spacing w:after="60" w:before="60"/>
      </w:pPr>
      <w:r>
        <w:t xml:space="preserve"/>
      </w:r>
    </w:p>
    <w:p>
      <w:pPr>
        <w:pStyle w:val="Heading2"/>
        <w:spacing w:after="120" w:before="320"/>
      </w:pPr>
      <w:r>
        <w:rPr>
          <w:rFonts w:ascii="Times New Roman" w:cs="Times New Roman" w:eastAsia="Times New Roman" w:hAnsi="Times New Roman"/>
          <w:b/>
          <w:bCs/>
          <w:color w:val="1B3A6B"/>
          <w:sz w:val="30"/>
          <w:szCs w:val="30"/>
        </w:rPr>
        <w:t xml:space="preserve">🎯 Challenge — Construire votre checklist personnelle</w:t>
      </w:r>
    </w:p>
    <w:p>
      <w:pPr>
        <w:spacing w:after="80" w:before="80"/>
      </w:pPr>
      <w:r>
        <w:rPr>
          <w:rFonts w:ascii="Times New Roman" w:cs="Times New Roman" w:eastAsia="Times New Roman" w:hAnsi="Times New Roman"/>
          <w:b w:val="false"/>
          <w:bCs w:val="false"/>
          <w:i w:val="false"/>
          <w:iCs w:val="false"/>
          <w:color w:val="1F2937"/>
          <w:sz w:val="22"/>
          <w:szCs w:val="22"/>
        </w:rPr>
        <w:t xml:space="preserve">Sur la base de cette leçon et des ressources disponibles, construisez votre propre « checklist avant tout placement » en 10 points maximum. Elle doit être :</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Opérationnelle : chaque point est une action concrète, pas un principe général.</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Vérifiable : pour chaque point, vous pouvez écrire OUI / NON / À VÉRIFIER.</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Adaptée à votre profil : à 61 ans, avec un horizon de 7-8 ans, quels points méritent une attention particulière par rapport à un profil jeune ?</w:t>
      </w:r>
    </w:p>
    <w:p>
      <w:pPr>
        <w:spacing w:after="60" w:before="60"/>
      </w:pPr>
      <w:r>
        <w:t xml:space="preserve"/>
      </w:r>
    </w:p>
    <w:p>
      <w:pPr>
        <w:spacing w:after="80" w:before="80"/>
      </w:pPr>
      <w:r>
        <w:rPr>
          <w:rFonts w:ascii="Times New Roman" w:cs="Times New Roman" w:eastAsia="Times New Roman" w:hAnsi="Times New Roman"/>
          <w:b w:val="false"/>
          <w:bCs w:val="false"/>
          <w:i w:val="false"/>
          <w:iCs w:val="false"/>
          <w:color w:val="1F2937"/>
          <w:sz w:val="22"/>
          <w:szCs w:val="22"/>
        </w:rPr>
        <w:t xml:space="preserve">Critères d'une bonne checklist :</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Elle couvre au moins : vérification de l'agrément, test des listes noires, analyse du rendement annoncé vs risque, conditions de retrait, présence d'un contrat écrit.</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Elle inclut au moins un point spécifique aux biens divers et un point sur les sollicitations non sollicitées.</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Elle se conclut par une ligne : « En cas de doute, j'appelle le 01 53 45 62 00 avant tout versement. »</w:t>
      </w:r>
    </w:p>
    <w:p>
      <w:pPr>
        <w:spacing w:after="60" w:before="60"/>
      </w:pPr>
      <w:r>
        <w:t xml:space="preserve"/>
      </w:r>
    </w:p>
    <w:p>
      <w:pPr>
        <w:pStyle w:val="Heading2"/>
        <w:spacing w:after="120" w:before="320"/>
      </w:pPr>
      <w:r>
        <w:rPr>
          <w:rFonts w:ascii="Times New Roman" w:cs="Times New Roman" w:eastAsia="Times New Roman" w:hAnsi="Times New Roman"/>
          <w:b/>
          <w:bCs/>
          <w:color w:val="1B3A6B"/>
          <w:sz w:val="30"/>
          <w:szCs w:val="30"/>
        </w:rPr>
        <w:t xml:space="preserve">🌉 Pont pro (optionnel)</w:t>
      </w:r>
    </w:p>
    <w:p>
      <w:pPr>
        <w:spacing w:after="80" w:before="80"/>
      </w:pPr>
      <w:r>
        <w:rPr>
          <w:rFonts w:ascii="Times New Roman" w:cs="Times New Roman" w:eastAsia="Times New Roman" w:hAnsi="Times New Roman"/>
          <w:b w:val="false"/>
          <w:bCs w:val="false"/>
          <w:i w:val="false"/>
          <w:iCs w:val="false"/>
          <w:color w:val="1F2937"/>
          <w:sz w:val="22"/>
          <w:szCs w:val="22"/>
        </w:rPr>
        <w:t xml:space="preserve">Les personnes accompagnées en foyer d'hébergement — et parfois le personnel lui-même — peuvent être ciblées par des démarcheurs frauduleux, notamment par téléphone ou via les réseaux sociaux. En tant que chef de service, deux points d'attention :</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Les personnes en situation de handicap mental ou psychique peuvent être plus vulnérables face aux techniques de manipulation (urgence, autorité, affectivité). Sensibiliser les équipes AES/ME/ES aux signaux d'alerte les plus courants fait partie de la prévention de la maltraitance financière.</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Si un résident reçoit des sollicitations répétées de prestataires financiers non identifiés, cela peut être signalé à Épargne Info Service (01 53 45 62 00) ou à la Banque de France via ABE Infoservice.</w:t>
      </w:r>
    </w:p>
    <w:p>
      <w:pPr>
        <w:spacing w:after="60" w:before="60"/>
      </w:pPr>
      <w:r>
        <w:t xml:space="preserve"/>
      </w:r>
    </w:p>
    <w:p>
      <w:pPr>
        <w:pStyle w:val="Heading2"/>
        <w:spacing w:after="120" w:before="320"/>
      </w:pPr>
      <w:r>
        <w:rPr>
          <w:rFonts w:ascii="Times New Roman" w:cs="Times New Roman" w:eastAsia="Times New Roman" w:hAnsi="Times New Roman"/>
          <w:b/>
          <w:bCs/>
          <w:color w:val="1B3A6B"/>
          <w:sz w:val="30"/>
          <w:szCs w:val="30"/>
        </w:rPr>
        <w:t xml:space="preserve">📚 Ressources cliquables</w:t>
      </w:r>
    </w:p>
    <w:p>
      <w:pPr>
        <w:pStyle w:val="ListParagraph"/>
        <w:numPr>
          <w:ilvl w:val="0"/>
          <w:numId w:val="1"/>
        </w:numPr>
        <w:spacing w:after="80" w:before="80"/>
      </w:pPr>
      <w:hyperlink w:history="1" r:id="rIdu4ouigfirvzqqm-9t1i_s">
        <w:r>
          <w:rPr>
            <w:rFonts w:ascii="Times New Roman" w:cs="Times New Roman" w:eastAsia="Times New Roman" w:hAnsi="Times New Roman"/>
            <w:color w:val="1155CC"/>
            <w:sz w:val="22"/>
            <w:szCs w:val="22"/>
            <w:u w:val="single"/>
          </w:rPr>
          <w:t xml:space="preserve">AMF Protect Épargne — Signaler une arnaque, vérifier, consulter les alertes</w:t>
        </w:r>
      </w:hyperlink>
      <w:r>
        <w:rPr>
          <w:rFonts w:ascii="Times New Roman" w:cs="Times New Roman" w:eastAsia="Times New Roman" w:hAnsi="Times New Roman"/>
          <w:color w:val="1F2937"/>
          <w:sz w:val="22"/>
          <w:szCs w:val="22"/>
        </w:rPr>
        <w:t xml:space="preserve"> — Outil officiel de l'AMF pour les épargnants — consulté le 03/10/2026</w:t>
      </w:r>
    </w:p>
    <w:p>
      <w:pPr>
        <w:pStyle w:val="ListParagraph"/>
        <w:numPr>
          <w:ilvl w:val="0"/>
          <w:numId w:val="1"/>
        </w:numPr>
        <w:spacing w:after="80" w:before="80"/>
      </w:pPr>
      <w:hyperlink w:history="1" r:id="rIdob6mrdz0zmi3gqihtx21i">
        <w:r>
          <w:rPr>
            <w:rFonts w:ascii="Times New Roman" w:cs="Times New Roman" w:eastAsia="Times New Roman" w:hAnsi="Times New Roman"/>
            <w:color w:val="1155CC"/>
            <w:sz w:val="22"/>
            <w:szCs w:val="22"/>
            <w:u w:val="single"/>
          </w:rPr>
          <w:t xml:space="preserve">AMF — Listes noires et mises en garde (options binaires, Forex, crypto, biens divers, usurpations)</w:t>
        </w:r>
      </w:hyperlink>
      <w:r>
        <w:rPr>
          <w:rFonts w:ascii="Times New Roman" w:cs="Times New Roman" w:eastAsia="Times New Roman" w:hAnsi="Times New Roman"/>
          <w:color w:val="1F2937"/>
          <w:sz w:val="22"/>
          <w:szCs w:val="22"/>
        </w:rPr>
        <w:t xml:space="preserve"> — Page téléchargeable, mise à jour régulièrement — consulté le 03/10/2026</w:t>
      </w:r>
    </w:p>
    <w:p>
      <w:pPr>
        <w:pStyle w:val="ListParagraph"/>
        <w:numPr>
          <w:ilvl w:val="0"/>
          <w:numId w:val="1"/>
        </w:numPr>
        <w:spacing w:after="80" w:before="80"/>
      </w:pPr>
      <w:hyperlink w:history="1" r:id="rIdb9anoaibwz6mdwisfckko">
        <w:r>
          <w:rPr>
            <w:rFonts w:ascii="Times New Roman" w:cs="Times New Roman" w:eastAsia="Times New Roman" w:hAnsi="Times New Roman"/>
            <w:color w:val="1155CC"/>
            <w:sz w:val="22"/>
            <w:szCs w:val="22"/>
            <w:u w:val="single"/>
          </w:rPr>
          <w:t xml:space="preserve">AMF — Listes blanches des acteurs autorisés (vérifier qu'un professionnel est agréé)</w:t>
        </w:r>
      </w:hyperlink>
      <w:r>
        <w:rPr>
          <w:rFonts w:ascii="Times New Roman" w:cs="Times New Roman" w:eastAsia="Times New Roman" w:hAnsi="Times New Roman"/>
          <w:color w:val="1F2937"/>
          <w:sz w:val="22"/>
          <w:szCs w:val="22"/>
        </w:rPr>
        <w:t xml:space="preserve"> — Consulté le 03/10/2026</w:t>
      </w:r>
    </w:p>
    <w:p>
      <w:pPr>
        <w:pStyle w:val="ListParagraph"/>
        <w:numPr>
          <w:ilvl w:val="0"/>
          <w:numId w:val="1"/>
        </w:numPr>
        <w:spacing w:after="80" w:before="80"/>
      </w:pPr>
      <w:hyperlink w:history="1" r:id="rId7miuz8zvfa7kgidjixlk_">
        <w:r>
          <w:rPr>
            <w:rFonts w:ascii="Times New Roman" w:cs="Times New Roman" w:eastAsia="Times New Roman" w:hAnsi="Times New Roman"/>
            <w:color w:val="1155CC"/>
            <w:sz w:val="22"/>
            <w:szCs w:val="22"/>
            <w:u w:val="single"/>
          </w:rPr>
          <w:t xml:space="preserve">ABE Infoservice — Prévention des arnaques financières (AMF / ACPR / Banque de France)</w:t>
        </w:r>
      </w:hyperlink>
      <w:r>
        <w:rPr>
          <w:rFonts w:ascii="Times New Roman" w:cs="Times New Roman" w:eastAsia="Times New Roman" w:hAnsi="Times New Roman"/>
          <w:color w:val="1F2937"/>
          <w:sz w:val="22"/>
          <w:szCs w:val="22"/>
        </w:rPr>
        <w:t xml:space="preserve"> — Types d'arnaques, techniques des escrocs, ressources de recours — consulté le 03/10/2026</w:t>
      </w:r>
    </w:p>
    <w:p>
      <w:pPr>
        <w:pStyle w:val="ListParagraph"/>
        <w:numPr>
          <w:ilvl w:val="0"/>
          <w:numId w:val="1"/>
        </w:numPr>
        <w:spacing w:after="80" w:before="80"/>
      </w:pPr>
      <w:hyperlink w:history="1" r:id="rIdm1oi4tl7t3hs3xqu7zw0_">
        <w:r>
          <w:rPr>
            <w:rFonts w:ascii="Times New Roman" w:cs="Times New Roman" w:eastAsia="Times New Roman" w:hAnsi="Times New Roman"/>
            <w:color w:val="1155CC"/>
            <w:sz w:val="22"/>
            <w:szCs w:val="22"/>
            <w:u w:val="single"/>
          </w:rPr>
          <w:t xml:space="preserve">La Finance Pour Tous — Listes noires AMF/ACPR : cryptoactifs, Forex, livret, usurpation (15 avril 2026)</w:t>
        </w:r>
      </w:hyperlink>
      <w:r>
        <w:rPr>
          <w:rFonts w:ascii="Times New Roman" w:cs="Times New Roman" w:eastAsia="Times New Roman" w:hAnsi="Times New Roman"/>
          <w:color w:val="1F2937"/>
          <w:sz w:val="22"/>
          <w:szCs w:val="22"/>
        </w:rPr>
        <w:t xml:space="preserve"> — Chiffres sur les pertes moyennes et les profils de victimes — consulté le 03/10/2026</w:t>
      </w:r>
    </w:p>
    <w:p>
      <w:pPr>
        <w:pStyle w:val="ListParagraph"/>
        <w:numPr>
          <w:ilvl w:val="0"/>
          <w:numId w:val="1"/>
        </w:numPr>
        <w:spacing w:after="80" w:before="80"/>
      </w:pPr>
      <w:hyperlink w:history="1" r:id="rIdegl2mepluib9f8hzh5tg8">
        <w:r>
          <w:rPr>
            <w:rFonts w:ascii="Times New Roman" w:cs="Times New Roman" w:eastAsia="Times New Roman" w:hAnsi="Times New Roman"/>
            <w:color w:val="1155CC"/>
            <w:sz w:val="22"/>
            <w:szCs w:val="22"/>
            <w:u w:val="single"/>
          </w:rPr>
          <w:t xml:space="preserve">La Finance Pour Tous — Arnaques et produits structurés : le double combat du Pôle commun AMF-ACPR (2 juillet 2026)</w:t>
        </w:r>
      </w:hyperlink>
      <w:r>
        <w:rPr>
          <w:rFonts w:ascii="Times New Roman" w:cs="Times New Roman" w:eastAsia="Times New Roman" w:hAnsi="Times New Roman"/>
          <w:color w:val="1F2937"/>
          <w:sz w:val="22"/>
          <w:szCs w:val="22"/>
        </w:rPr>
        <w:t xml:space="preserve"> — Mécanismes pump &amp; dump, rug pull, finfluenceurs, produits structurés — consulté le 03/10/2026</w:t>
      </w:r>
    </w:p>
    <w:p>
      <w:pPr>
        <w:spacing w:after="60" w:before="60"/>
      </w:pPr>
      <w:r>
        <w:t xml:space="preserve"/>
      </w:r>
    </w:p>
    <w:p>
      <w:pPr>
        <w:pStyle w:val="Heading2"/>
        <w:spacing w:after="120" w:before="320"/>
      </w:pPr>
      <w:r>
        <w:rPr>
          <w:rFonts w:ascii="Times New Roman" w:cs="Times New Roman" w:eastAsia="Times New Roman" w:hAnsi="Times New Roman"/>
          <w:b/>
          <w:bCs/>
          <w:color w:val="1B3A6B"/>
          <w:sz w:val="30"/>
          <w:szCs w:val="30"/>
        </w:rPr>
        <w:t xml:space="preserve">👤 Pour aller plus loin avec un professionnel</w:t>
      </w:r>
    </w:p>
    <w:p>
      <w:pPr>
        <w:spacing w:after="80" w:before="80"/>
      </w:pPr>
      <w:r>
        <w:rPr>
          <w:rFonts w:ascii="Times New Roman" w:cs="Times New Roman" w:eastAsia="Times New Roman" w:hAnsi="Times New Roman"/>
          <w:b w:val="false"/>
          <w:bCs w:val="false"/>
          <w:i w:val="false"/>
          <w:iCs w:val="false"/>
          <w:color w:val="1F2937"/>
          <w:sz w:val="22"/>
          <w:szCs w:val="22"/>
        </w:rPr>
        <w:t xml:space="preserve">Questions concrètes à poser à un conseiller en gestion de patrimoine (CGP) ou un CIF agréé :</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 Quel est votre numéro ORIAS ou AMF ? Puis-je le vérifier sur les registres officiels ? »</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 Pour ce placement, quel est le scénario de perte maximale, et sous quelle forme puis-je le consulter par écrit dans le document d'information ? »</w:t>
      </w:r>
    </w:p>
    <w:p>
      <w:pPr>
        <w:pStyle w:val="ListParagraph"/>
        <w:numPr>
          <w:ilvl w:val="0"/>
          <w:numId w:val="1"/>
        </w:numPr>
        <w:spacing w:after="60" w:before="60"/>
      </w:pPr>
      <w:r>
        <w:rPr>
          <w:rFonts w:ascii="Times New Roman" w:cs="Times New Roman" w:eastAsia="Times New Roman" w:hAnsi="Times New Roman"/>
          <w:b w:val="false"/>
          <w:bCs w:val="false"/>
          <w:color w:val="1F2937"/>
          <w:sz w:val="22"/>
          <w:szCs w:val="22"/>
        </w:rPr>
        <w:t xml:space="preserve">« Quels sont vos liens d'intérêt éventuels avec l'émetteur ou la plateforme que vous me proposez, et comment sont-ils rémunérés ? »</w:t>
      </w:r>
    </w:p>
    <w:p>
      <w:pPr>
        <w:spacing w:after="60" w:before="60"/>
      </w:pPr>
      <w:r>
        <w:t xml:space="preserve"/>
      </w:r>
    </w:p>
    <w:p>
      <w:pPr>
        <w:pStyle w:val="Heading2"/>
        <w:spacing w:after="120" w:before="320"/>
      </w:pPr>
      <w:r>
        <w:rPr>
          <w:rFonts w:ascii="Times New Roman" w:cs="Times New Roman" w:eastAsia="Times New Roman" w:hAnsi="Times New Roman"/>
          <w:b/>
          <w:bCs/>
          <w:color w:val="1B3A6B"/>
          <w:sz w:val="30"/>
          <w:szCs w:val="30"/>
        </w:rPr>
        <w:t xml:space="preserve">🔜 Prochaine leçon</w:t>
      </w:r>
    </w:p>
    <w:p>
      <w:pPr>
        <w:spacing w:after="80" w:before="80"/>
      </w:pPr>
      <w:r>
        <w:rPr>
          <w:rFonts w:ascii="Times New Roman" w:cs="Times New Roman" w:eastAsia="Times New Roman" w:hAnsi="Times New Roman"/>
          <w:b w:val="false"/>
          <w:bCs w:val="false"/>
          <w:i w:val="false"/>
          <w:iCs w:val="false"/>
          <w:color w:val="1F2937"/>
          <w:sz w:val="22"/>
          <w:szCs w:val="22"/>
        </w:rPr>
        <w:t xml:space="preserve">Leçon 18 / 20 — Reconstituer et estimer ses droits à la retraite</w:t>
      </w:r>
    </w:p>
    <w:p>
      <w:pPr>
        <w:spacing w:after="80" w:before="80"/>
      </w:pPr>
      <w:r>
        <w:rPr>
          <w:rFonts w:ascii="Times New Roman" w:cs="Times New Roman" w:eastAsia="Times New Roman" w:hAnsi="Times New Roman"/>
          <w:b w:val="false"/>
          <w:bCs w:val="false"/>
          <w:i w:val="false"/>
          <w:iCs w:val="false"/>
          <w:color w:val="1F2937"/>
          <w:sz w:val="22"/>
          <w:szCs w:val="22"/>
        </w:rPr>
        <w:t xml:space="preserve">Comment consulter son relevé de carrière, utiliser Mon Compte Retraite, comprendre les points AGIRC-ARRCO, interpréter l'Estimation Indicative Globale (EIG), et identifier d'éventuels oublis ou erreurs à corriger avant la liquidation.</w:t>
      </w:r>
    </w:p>
    <w:p>
      <w:pPr>
        <w:spacing w:after="80" w:before="80"/>
      </w:pPr>
      <w:r>
        <w:rPr>
          <w:rFonts w:ascii="Times New Roman" w:cs="Times New Roman" w:eastAsia="Times New Roman" w:hAnsi="Times New Roman"/>
          <w:b w:val="false"/>
          <w:bCs w:val="false"/>
          <w:i w:val="false"/>
          <w:iCs w:val="false"/>
          <w:color w:val="1F2937"/>
          <w:sz w:val="22"/>
          <w:szCs w:val="22"/>
        </w:rPr>
        <w:t xml:space="preserve">Thèmes annoncés : relevé de carrière, Mon Compte Retraite, points AGIRC-ARRCO, Estimation Indicative Globale (EIG), simulation retraite, corrections et rachats de trimestres.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4ouigfirvzqqm-9t1i_s" Type="http://schemas.openxmlformats.org/officeDocument/2006/relationships/hyperlink" Target="https://protectepargne.amf-france.org/" TargetMode="External"/><Relationship Id="rIdob6mrdz0zmi3gqihtx21i" Type="http://schemas.openxmlformats.org/officeDocument/2006/relationships/hyperlink" Target="https://www.amf-france.org/fr/espace-epargnants/proteger-son-epargne/listes-noires-et-mises-en-garde" TargetMode="External"/><Relationship Id="rIdb9anoaibwz6mdwisfckko" Type="http://schemas.openxmlformats.org/officeDocument/2006/relationships/hyperlink" Target="https://www.amf-france.org/fr/espace-epargnants/proteger-son-epargne/listes-blanches" TargetMode="External"/><Relationship Id="rId7miuz8zvfa7kgidjixlk_" Type="http://schemas.openxmlformats.org/officeDocument/2006/relationships/hyperlink" Target="https://www.abe-infoservice.fr/fr/prevention-arnaques" TargetMode="External"/><Relationship Id="rIdm1oi4tl7t3hs3xqu7zw0_" Type="http://schemas.openxmlformats.org/officeDocument/2006/relationships/hyperlink" Target="https://www.lafinancepourtous.com/2026/04/15/cryptoactifs-forex-livret-bancaire-usurpation-didentite-les-listes-noires-de-lamf-et-de-lacpr/" TargetMode="External"/><Relationship Id="rIdegl2mepluib9f8hzh5tg8" Type="http://schemas.openxmlformats.org/officeDocument/2006/relationships/hyperlink" Target="https://www.lafinancepourtous.com/2026/07/02/arnaques-et-produits-structures-le-double-combat-du-pole-commun-amf-acpr/"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2026-10-03T06:12:59.988Z</dcterms:created>
  <dcterms:modified xsi:type="dcterms:W3CDTF">2026-10-03T06:13:00.052Z</dcterms:modified>
</cp:coreProperties>
</file>

<file path=docProps/custom.xml><?xml version="1.0" encoding="utf-8"?>
<Properties xmlns="http://schemas.openxmlformats.org/officeDocument/2006/custom-properties" xmlns:vt="http://schemas.openxmlformats.org/officeDocument/2006/docPropsVTypes"/>
</file>