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Dzogchen n°17</w:t>
      </w:r>
    </w:p>
    <w:p>
      <w:pPr>
        <w:spacing w:after="60" w:before="60"/>
        <w:jc w:val="center"/>
      </w:pPr>
      <w:r>
        <w:rPr>
          <w:rFonts w:ascii="Times New Roman" w:cs="Times New Roman" w:eastAsia="Times New Roman" w:hAnsi="Times New Roman"/>
          <w:b/>
          <w:bCs/>
          <w:color w:val="1B3A6B"/>
          <w:sz w:val="36"/>
          <w:szCs w:val="36"/>
        </w:rPr>
        <w:t xml:space="preserve">Dzogchen et mahamudra : convergences, différences, débats</w:t>
      </w:r>
    </w:p>
    <w:p>
      <w:pPr>
        <w:spacing w:after="200" w:before="60"/>
        <w:jc w:val="center"/>
      </w:pPr>
      <w:r>
        <w:rPr>
          <w:rFonts w:ascii="Times New Roman" w:cs="Times New Roman" w:eastAsia="Times New Roman" w:hAnsi="Times New Roman"/>
          <w:color w:val="1F2937"/>
          <w:sz w:val="22"/>
          <w:szCs w:val="22"/>
        </w:rPr>
        <w:t xml:space="preserve">22 septembre 2026  ·  Leçon 17 / 20</w:t>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sauras distinguer les deux grandes traditions de la réalisation directe dans le bouddhisme tibétain — Dzogchen et Mahamudra —, identifier leurs points de convergence essentiels, comprendre pourquoi certains maîtres affirment leur équivalence et pourquoi d'autres maintiennent leurs différences, et te situer dans ce débat à travers un exercice de position.</w:t>
      </w:r>
    </w:p>
    <w:p>
      <w:pPr>
        <w:spacing w:after="80" w:before="80"/>
      </w:pPr>
      <w:r>
        <w:rPr>
          <w:rFonts w:ascii="Times New Roman" w:cs="Times New Roman" w:eastAsia="Times New Roman" w:hAnsi="Times New Roman"/>
          <w:color w:val="1F2937"/>
          <w:sz w:val="22"/>
          <w:szCs w:val="22"/>
        </w:rPr>
        <w:t xml:space="preserve">Continuité : les leçons précédentes ont exploré les grandes figures de la lignée Nyingma — Longchenpa (leçon 15) et Jigme Lingpa (leçon 16). Nous quittons l'histoire d'une école pour regarder comment le Dzogchen se situe dans le paysage plus large des voies de réalisation directe tibétaines. La Mahamudra — portée principalement par l'école Kagyü — est la partenaire naturelle de ce dialogue.</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w:t>
      </w:r>
    </w:p>
    <w:p>
      <w:pPr>
        <w:pStyle w:val="Heading3"/>
        <w:spacing w:after="80" w:before="200"/>
      </w:pPr>
      <w:r>
        <w:rPr>
          <w:rFonts w:ascii="Times New Roman" w:cs="Times New Roman" w:eastAsia="Times New Roman" w:hAnsi="Times New Roman"/>
          <w:b/>
          <w:bCs/>
          <w:color w:val="1F2937"/>
          <w:sz w:val="26"/>
          <w:szCs w:val="26"/>
        </w:rPr>
        <w:t xml:space="preserve">1. Deux traditions, une question commune</w:t>
      </w:r>
    </w:p>
    <w:p>
      <w:pPr>
        <w:spacing w:after="80" w:before="80"/>
      </w:pPr>
      <w:r>
        <w:rPr>
          <w:rFonts w:ascii="Times New Roman" w:cs="Times New Roman" w:eastAsia="Times New Roman" w:hAnsi="Times New Roman"/>
          <w:color w:val="1F2937"/>
          <w:sz w:val="22"/>
          <w:szCs w:val="22"/>
        </w:rPr>
        <w:t xml:space="preserve">Le Dzogchen (Grande Perfection) et la Mahamudra (Grand Sceau) partagent une même ambition fondamentale : faire reconnaître à l'être humain la nature véritable de son esprit, décrite comme vide, pure et lumineuse. Toutes deux insistent sur la transmission directe d'un maître qualifié — les « pointing-out instructions » —, toutes deux visent l'éveil dans la forme des trois kāyas. Ce socle commun explique pourquoi leurs praticiens se sont régulièrement rencontrés, et parfois rejoints.</w:t>
      </w:r>
    </w:p>
    <w:p>
      <w:pPr>
        <w:spacing w:after="80" w:before="80"/>
      </w:pPr>
      <w:r>
        <w:rPr>
          <w:rFonts w:ascii="Times New Roman" w:cs="Times New Roman" w:eastAsia="Times New Roman" w:hAnsi="Times New Roman"/>
          <w:color w:val="1F2937"/>
          <w:sz w:val="22"/>
          <w:szCs w:val="22"/>
        </w:rPr>
        <w:t xml:space="preserve">Leurs origines géographiques diffèrent cependant. Roger R. Jackson — professeur émérite d'études asiatiques au Carleton College, auteur d'un article de fond dans Lion's Roar — situe les sources du Dzogchen en Inde occidentale (Cachemire, Gilgit), tandis que la Mahamudra émerge des plaines de l'Inde orientale à l'époque des mahāsiddhas (Saraha, Tilopa, Nāropa, Maitripa). Les deux traditions atteignent le Tibet par des canaux distincts et s'y développent dans des écoles différentes.</w:t>
      </w:r>
    </w:p>
    <w:p>
      <w:pPr>
        <w:pStyle w:val="Heading3"/>
        <w:spacing w:after="80" w:before="200"/>
      </w:pPr>
      <w:r>
        <w:rPr>
          <w:rFonts w:ascii="Times New Roman" w:cs="Times New Roman" w:eastAsia="Times New Roman" w:hAnsi="Times New Roman"/>
          <w:b/>
          <w:bCs/>
          <w:color w:val="1F2937"/>
          <w:sz w:val="26"/>
          <w:szCs w:val="26"/>
        </w:rPr>
        <w:t xml:space="preserve">2. Le 3e Karmapa Rangjung Dorjé — détenteur des deux lignées</w:t>
      </w:r>
    </w:p>
    <w:p>
      <w:pPr>
        <w:spacing w:after="80" w:before="80"/>
      </w:pPr>
      <w:r>
        <w:rPr>
          <w:rFonts w:ascii="Times New Roman" w:cs="Times New Roman" w:eastAsia="Times New Roman" w:hAnsi="Times New Roman"/>
          <w:color w:val="1F2937"/>
          <w:sz w:val="22"/>
          <w:szCs w:val="22"/>
        </w:rPr>
        <w:t xml:space="preserve">La figure la plus emblématique de la rencontre entre Dzogchen et Mahamudra est le 3e Karmapa, Rangjung Dorjé. Né en 1284, il dirige l'école Karma Kagyü, la plus grande des sous-écoles Kagyü (Wikipedia). Sa date de mort fait l'objet d'une discordance entre sources : 1338 selon l'historien Tom Suchan (1998), 1339 selon plusieurs notices d'autorité citées par Wikipedia — les deux versions coexistent dans la même page.</w:t>
      </w:r>
    </w:p>
    <w:p>
      <w:pPr>
        <w:spacing w:after="80" w:before="80"/>
      </w:pPr>
      <w:r>
        <w:rPr>
          <w:rFonts w:ascii="Times New Roman" w:cs="Times New Roman" w:eastAsia="Times New Roman" w:hAnsi="Times New Roman"/>
          <w:color w:val="1F2937"/>
          <w:sz w:val="22"/>
          <w:szCs w:val="22"/>
        </w:rPr>
        <w:t xml:space="preserve">Rangjung Dorjé est né dans une famille Nyingma et reçoit les enseignements Dzogchen du maître Rigdzin Kumaradza. Il rencontre également Longchenpa. Sa transmission Dzogchen dans le cadre Karma Kagyü porte le nom de Karma Nyingthik (Essence du Cœur de l'école Karma). Son « Aspiration de la Mahamudra » reste l'une de ses compositions les plus célébrées. La notice le dit « lineage-holder in both the Karma Kagyu and the Nyingma tradition of Dzogchen », et rapporte un échange : Longchenpa lui transmet certains enseignements Dzogchen et, « in exchange, Rangjung Dorje imparted important "New Translation" Tantras to Longchenpa ».</w:t>
      </w:r>
      <w:r>
        <w:rPr>
          <w:rFonts w:ascii="Times New Roman" w:cs="Times New Roman" w:eastAsia="Times New Roman" w:hAnsi="Times New Roman"/>
          <w:i/>
          <w:iCs/>
          <w:color w:val="6B7280"/>
          <w:sz w:val="20"/>
          <w:szCs w:val="20"/>
        </w:rPr>
        <w:t xml:space="preserve"> [Corrigé le 23/09/2026 : la leçon livrée concluait « Il incarne ainsi la possibilité de tenir les deux lignées sans les confondre » — une qualité prêtée à un homme, que sa page ne porte pas. La règle A6 de ce parcours avait été écrite le 08/09/2026 pour cette personne exactement.]</w:t>
      </w:r>
    </w:p>
    <w:p>
      <w:pPr>
        <w:pStyle w:val="Heading3"/>
        <w:spacing w:after="80" w:before="200"/>
      </w:pPr>
      <w:r>
        <w:rPr>
          <w:rFonts w:ascii="Times New Roman" w:cs="Times New Roman" w:eastAsia="Times New Roman" w:hAnsi="Times New Roman"/>
          <w:b/>
          <w:bCs/>
          <w:color w:val="1F2937"/>
          <w:sz w:val="26"/>
          <w:szCs w:val="26"/>
        </w:rPr>
        <w:t xml:space="preserve">3. Convergences : « même en sens, différents en expression »</w:t>
      </w:r>
    </w:p>
    <w:p>
      <w:pPr>
        <w:spacing w:after="80" w:before="80"/>
      </w:pPr>
      <w:r>
        <w:rPr>
          <w:rFonts w:ascii="Times New Roman" w:cs="Times New Roman" w:eastAsia="Times New Roman" w:hAnsi="Times New Roman"/>
          <w:color w:val="1F2937"/>
          <w:sz w:val="22"/>
          <w:szCs w:val="22"/>
        </w:rPr>
        <w:t xml:space="preserve">La formulation la plus directe de la thèse convergente est celle de Tsele Natsok Rangdröl (aussi appelé Künkhyen Tsele Rinpoché), cité par Tulku Urgyen Rinpoché (1920-1996) dans son article de Lion's Roar :</w:t>
      </w:r>
    </w:p>
    <w:p>
      <w:pPr>
        <w:shd w:fill="F3F4F6" w:val="solid"/>
        <w:spacing w:after="120" w:before="120"/>
        <w:ind w:left="576"/>
      </w:pPr>
      <w:r>
        <w:rPr>
          <w:rFonts w:ascii="Times New Roman" w:cs="Times New Roman" w:eastAsia="Times New Roman" w:hAnsi="Times New Roman"/>
          <w:color w:val="1B3A6B"/>
          <w:sz w:val="22"/>
          <w:szCs w:val="22"/>
        </w:rPr>
        <w:t xml:space="preserve">« Mahamudra and Dzogchen differ in words but not in meaning. The only difference is that Mahamudra stresses mindfulness while Dzogchen relaxes within awareness. » — Tsele Natsok Rangdröl (Künkhyen Tsele Rinpoché), cité par Tulku Urgyen Rinpoché, « Comparing Mahamudra and Dzogchen », Lion's Roar</w:t>
      </w:r>
      <w:r>
        <w:rPr>
          <w:rFonts w:ascii="Times New Roman" w:cs="Times New Roman" w:eastAsia="Times New Roman" w:hAnsi="Times New Roman"/>
          <w:i/>
          <w:iCs/>
          <w:color w:val="6B7280"/>
          <w:sz w:val="20"/>
          <w:szCs w:val="20"/>
        </w:rPr>
        <w:t xml:space="preserve"> [Corrigé le 23/09/2026 : l'article est signé « By Tulku Urgyen Rinpoche » (1920-1996) ; la leçon s'y appuyait huit fois sans jamais le nommer — A2 bis, cite l'auteur, pas l'organe qui le publie.]</w:t>
      </w:r>
    </w:p>
    <w:p>
      <w:pPr>
        <w:spacing w:after="80" w:before="80"/>
      </w:pPr>
      <w:r>
        <w:rPr>
          <w:rFonts w:ascii="Times New Roman" w:cs="Times New Roman" w:eastAsia="Times New Roman" w:hAnsi="Times New Roman"/>
          <w:color w:val="1F2937"/>
          <w:sz w:val="22"/>
          <w:szCs w:val="22"/>
        </w:rPr>
        <w:t xml:space="preserve">Le même maître précise que dans la Mahamudra, il est nécessaire « d'appliquer la pleine conscience » et de s'entraîner avec les apparences et les six perceptions sensorielles, tandis que dans le Dzogchen on « s'entraîne avec la conscience elle-même » — mais que la signification essentielle est identique (Lion's Roar).</w:t>
      </w:r>
    </w:p>
    <w:p>
      <w:pPr>
        <w:spacing w:after="80" w:before="80"/>
      </w:pPr>
      <w:r>
        <w:rPr>
          <w:rFonts w:ascii="Times New Roman" w:cs="Times New Roman" w:eastAsia="Times New Roman" w:hAnsi="Times New Roman"/>
          <w:color w:val="1F2937"/>
          <w:sz w:val="22"/>
          <w:szCs w:val="22"/>
        </w:rPr>
        <w:t xml:space="preserve">Adeu Rinpoché (1931-2007) — maître des lignées Drukpa Kagyü et Nyingma —  note que les deux traditions emploient les mêmes fondements (immobilité, présence au surgissement des pensées, conscience du processus) et convergent vers la même réalisation : « of one taste within the expanse of dharmakaya » (Lion's Roar, « Dzogchen and Mahamudra, Two Great Paths »).</w:t>
      </w:r>
    </w:p>
    <w:p>
      <w:pPr>
        <w:pStyle w:val="Heading3"/>
        <w:spacing w:after="80" w:before="200"/>
      </w:pPr>
      <w:r>
        <w:rPr>
          <w:rFonts w:ascii="Times New Roman" w:cs="Times New Roman" w:eastAsia="Times New Roman" w:hAnsi="Times New Roman"/>
          <w:b/>
          <w:bCs/>
          <w:color w:val="1F2937"/>
          <w:sz w:val="26"/>
          <w:szCs w:val="26"/>
        </w:rPr>
        <w:t xml:space="preserve">4. Différences : deux accès, deux pédagogies</w:t>
      </w:r>
    </w:p>
    <w:p>
      <w:pPr>
        <w:spacing w:after="80" w:before="80"/>
      </w:pPr>
      <w:r>
        <w:rPr>
          <w:rFonts w:ascii="Times New Roman" w:cs="Times New Roman" w:eastAsia="Times New Roman" w:hAnsi="Times New Roman"/>
          <w:color w:val="1F2937"/>
          <w:sz w:val="22"/>
          <w:szCs w:val="22"/>
        </w:rPr>
        <w:t xml:space="preserve">Les différences ne sont pas que terminologiques. Elles tiennent à au moins quatre points, qui ne viennent pas de la même source : les points 1 et 3 sont d'Alexander Berzin (Study Buddhism / Berzin Archives), les points 2 et 4 de Tulku Urgyen Rinpoché (Lion's Roar).</w:t>
      </w:r>
      <w:r>
        <w:rPr>
          <w:rFonts w:ascii="Times New Roman" w:cs="Times New Roman" w:eastAsia="Times New Roman" w:hAnsi="Times New Roman"/>
          <w:i/>
          <w:iCs/>
          <w:color w:val="6B7280"/>
          <w:sz w:val="20"/>
          <w:szCs w:val="20"/>
        </w:rPr>
        <w:t xml:space="preserve"> [Corrigé le 23/09/2026 : la leçon livrée donnait les quatre points « selon Alexander Berzin ». Sa page, rouverte, ne contient ni « abandon » (0 occurrence) ni « four yogas » (0 occurrence) : les points 2 et 4 viennent de l'article de Tulku Urgyen Rinpoché. Et la section que Berzin intitule « The Differences between Mahamudra and Dzogchen » dit surtout ce que la leçon ne reprenait pas : la Mahamudra se pratique aux niveaux sūtra et anuttarayoga selon les écoles (la Sakya, uniquement anuttarayoga), tandis que « Dzogchen practice, however, is exclusively done on the highest level of tantra and deals only with the subtlest level of mental activity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Mode d'accès : la Mahamudra accède à l'esprit subtil en dissolvant les vents-énergie et les couches grossières de l'activité mentale ; le Dzogchen y accède sans activement arrêter ces couches grossières.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Rôle des apparences : la Mahamudra s'entraîne avec elles (six perceptions, expériences) ; le Dzogchen se concentre sur la conscience elle-même, abandonnant l'engagement avec les apparences — Tulku Urgyen Rinpoché écrit « You abandon all appearances and only rest in rigpa » pour le Dzogchen, et pour la Mahamudra « We do not need to cast them away or abandon them » (Lion's Roar).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Auto-connaissance du rigpa : en Dzogchen, le rigpa est décrit comme « innately aware of its own void nature » — ce que les systèmes Mahamudra n'affirment pas universellement (Berzin Archives).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Progression : la Mahamudra procède par strates — les quatre yogas (un-pointu, simplicité, un-goût, non-méditation) — en réduisant progressivement la fixation mentale. Le Dzogchen introduit la non-méditation dès le début : « In Dzogchen, from the very beginning you are introduced to nonmeditation, nondistraction » (Tulku Urgyen Rinpoché, Lion's Roar) — les quatre noms des yogas, eux, viennent de la notice Wikipédia.</w:t>
      </w:r>
    </w:p>
    <w:p>
      <w:pPr>
        <w:spacing w:after="80" w:before="80"/>
      </w:pPr>
      <w:r>
        <w:rPr>
          <w:rFonts w:ascii="Times New Roman" w:cs="Times New Roman" w:eastAsia="Times New Roman" w:hAnsi="Times New Roman"/>
          <w:color w:val="1F2937"/>
          <w:sz w:val="22"/>
          <w:szCs w:val="22"/>
        </w:rPr>
        <w:t xml:space="preserve">Le Dzogchen distingue en outre le kun gzhi (base-de-tout / ālaya), conscience neutre qui supporte les traces karmiques, et le rigpa, conscience primordiale auto-connaissante. Cette distinction est centrale dans la philosophie Dzogchen ; elle est moins structurante dans les systèmes Mahamudra.</w:t>
      </w:r>
    </w:p>
    <w:p>
      <w:pPr>
        <w:pStyle w:val="Heading3"/>
        <w:spacing w:after="80" w:before="200"/>
      </w:pPr>
      <w:r>
        <w:rPr>
          <w:rFonts w:ascii="Times New Roman" w:cs="Times New Roman" w:eastAsia="Times New Roman" w:hAnsi="Times New Roman"/>
          <w:b/>
          <w:bCs/>
          <w:color w:val="1F2937"/>
          <w:sz w:val="26"/>
          <w:szCs w:val="26"/>
        </w:rPr>
        <w:t xml:space="preserve">5. Débats et synthèses</w:t>
      </w:r>
    </w:p>
    <w:p>
      <w:pPr>
        <w:spacing w:after="80" w:before="80"/>
      </w:pPr>
      <w:r>
        <w:rPr>
          <w:rFonts w:ascii="Times New Roman" w:cs="Times New Roman" w:eastAsia="Times New Roman" w:hAnsi="Times New Roman"/>
          <w:color w:val="1F2937"/>
          <w:sz w:val="22"/>
          <w:szCs w:val="22"/>
        </w:rPr>
        <w:t xml:space="preserve">La question de la synthèse a animé plusieurs maîtres importants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Karma Chagmé (1613-1678) — fondateur de la sous-école Neydo Kagyü — a produit deux textes majeurs sur leur union : « A Spacious Path to Freedom: Practical Instructions on the Union of Mahāmudrā and Atiyoga » et « Naked Awareness: Practical Instructions on the Union of Mahāmudrā and Dzogchen », traduits tous deux par B. Alan Wallace (Wikipedia / Karma Chagme).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Mipham Rinpoché (1846-1912) — figure centrale du mouvement Rimé en contexte Nyingma — travaille à réconcilier la vue Dzogchen avec la philosophie Madhyamaka sūtrique (Wikipedia / Mipham Rinpoché).</w:t>
      </w:r>
      <w:r>
        <w:rPr>
          <w:rFonts w:ascii="Times New Roman" w:cs="Times New Roman" w:eastAsia="Times New Roman" w:hAnsi="Times New Roman"/>
          <w:i/>
          <w:iCs/>
          <w:color w:val="6B7280"/>
          <w:sz w:val="20"/>
          <w:szCs w:val="20"/>
        </w:rPr>
        <w:t xml:space="preserve"> [Corrigé le 23/09/2026 : la leçon livrée ajoutait « sans opérer spécifiquement de synthèse avec la Mahamudra Kagyü ». Sa notice Wikipédia, rouverte, ne contient aucune occurrence du mot Mahamudra sur 49 602 caractères : elle n'en dit rien, ce qui ne permet de conclure ni dans un sens ni dans l'autre — règle B2, une absence de mention n'est pas une absence de fait.]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tradition Palyul (Nyingma) préserve une transmission nommée « Union of mahāmudrā and Ati Yoga », que la page dit « originated by Karma Chagme » — celui du paragraphe précédent (Wikipedia / Mahamudra).</w:t>
      </w:r>
    </w:p>
    <w:p>
      <w:pPr>
        <w:spacing w:after="80" w:before="80"/>
      </w:pPr>
      <w:r>
        <w:rPr>
          <w:rFonts w:ascii="Times New Roman" w:cs="Times New Roman" w:eastAsia="Times New Roman" w:hAnsi="Times New Roman"/>
          <w:color w:val="1F2937"/>
          <w:sz w:val="22"/>
          <w:szCs w:val="22"/>
        </w:rPr>
        <w:t xml:space="preserve">Un texte de Do-Ngak Chökyi Gyatso, publié par Lotsawa House sous le titre </w:t>
      </w:r>
      <w:hyperlink w:history="1" r:id="rIdLotsawaMemorandum">
        <w:r>
          <w:rPr>
            <w:rFonts w:ascii="Times New Roman" w:cs="Times New Roman" w:eastAsia="Times New Roman" w:hAnsi="Times New Roman"/>
            <w:color w:val="1155CC"/>
            <w:sz w:val="22"/>
            <w:szCs w:val="22"/>
            <w:u w:val="single"/>
          </w:rPr>
          <w:t xml:space="preserve">Memorandum on the Subject of Mahāmudrā and Dzogchen Instructions</w:t>
        </w:r>
      </w:hyperlink>
      <w:r>
        <w:rPr>
          <w:rFonts w:ascii="Times New Roman" w:cs="Times New Roman" w:eastAsia="Times New Roman" w:hAnsi="Times New Roman"/>
          <w:color w:val="1F2937"/>
          <w:sz w:val="22"/>
          <w:szCs w:val="22"/>
        </w:rPr>
        <w:t xml:space="preserve">, aborde directement la question. Il s'ouvre sur « The Mahāmudrā and Dzogchen instructions are not invalid. In fact, the ways in which they are valid become clear when we make a distinction between 1) teachings that apply more generally, and 2) teachings that are intended for particular individuals », et vise ceux qui « will suggest that everyone should follow the path of Mahāmudrā or Dzogchen right from the beginning, and declare that anything else is not even Dharma ».</w:t>
      </w:r>
      <w:r>
        <w:rPr>
          <w:rFonts w:ascii="Times New Roman" w:cs="Times New Roman" w:eastAsia="Times New Roman" w:hAnsi="Times New Roman"/>
          <w:i/>
          <w:iCs/>
          <w:color w:val="6B7280"/>
          <w:sz w:val="20"/>
          <w:szCs w:val="20"/>
        </w:rPr>
        <w:t xml:space="preserve"> [Corrigé le 23/09/2026 : la leçon livrée décrivait ce texte « d'après la page principale de Lotsawa House, qui en présente le contenu » — cette page, rouverte, ne contient ni « Memorandum », ni « Do-Ngak », ni « Chökyi Gyatso » sur ses 7 968 caractères. Le texte existe bien : le lien essayé le 22/09 portait le slug « do-ngak-chokyi-gyatso » (404), le bon est « dongak-chokyi-gyatso » (HTTP 200, 7 815 caractères), et il est désormais lu et lié. La description donnée était juste ; c'est sa provenance qui était fausse.]</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w:t>
      </w:r>
    </w:p>
    <w:p>
      <w:pPr>
        <w:pStyle w:val="Heading3"/>
        <w:spacing w:after="80" w:before="200"/>
      </w:pPr>
      <w:r>
        <w:rPr>
          <w:rFonts w:ascii="Times New Roman" w:cs="Times New Roman" w:eastAsia="Times New Roman" w:hAnsi="Times New Roman"/>
          <w:b/>
          <w:bCs/>
          <w:color w:val="1F2937"/>
          <w:sz w:val="26"/>
          <w:szCs w:val="26"/>
        </w:rPr>
        <w:t xml:space="preserve">Exercice 1 — Cartographie comparative (10-15 min)</w:t>
      </w:r>
    </w:p>
    <w:p>
      <w:pPr>
        <w:spacing w:after="80" w:before="80"/>
      </w:pPr>
      <w:r>
        <w:rPr>
          <w:rFonts w:ascii="Times New Roman" w:cs="Times New Roman" w:eastAsia="Times New Roman" w:hAnsi="Times New Roman"/>
          <w:color w:val="1F2937"/>
          <w:sz w:val="22"/>
          <w:szCs w:val="22"/>
        </w:rPr>
        <w:t xml:space="preserve">À partir des dimensions suivantes, complète le tableau de ta propre main (bloc-notes ou papier) avant de regarder le 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Origine géographique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École principale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Terme central pour désigner la conscience éveillée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Mode d'accès à l'esprit subtil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Structure des étapes (comment progresse-t-on ?)</w:t>
      </w:r>
    </w:p>
    <w:p>
      <w:r>
        <w:t xml:space="preserve"/>
      </w:r>
    </w:p>
    <w:p>
      <w:pPr>
        <w:spacing w:after="80" w:before="80"/>
      </w:pPr>
      <w:r>
        <w:rPr>
          <w:rFonts w:ascii="Times New Roman" w:cs="Times New Roman" w:eastAsia="Times New Roman" w:hAnsi="Times New Roman"/>
          <w:color w:val="1F2937"/>
          <w:sz w:val="22"/>
          <w:szCs w:val="22"/>
        </w:rPr>
        <w:t xml:space="preserve">Corrigé : voir le tableau comparatif ci-dessous.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solid"/>
          </w:tcPr>
          <w:p>
            <w:r>
              <w:rPr>
                <w:rFonts w:ascii="Times New Roman" w:cs="Times New Roman" w:eastAsia="Times New Roman" w:hAnsi="Times New Roman"/>
                <w:b/>
                <w:bCs/>
                <w:color w:val="FFFFFF"/>
                <w:sz w:val="20"/>
                <w:szCs w:val="20"/>
              </w:rPr>
              <w:t xml:space="preserve">Dimension</w:t>
            </w:r>
          </w:p>
        </w:tc>
        <w:tc>
          <w:tcPr>
            <w:shd w:fill="1B3A6B" w:val="solid"/>
          </w:tcPr>
          <w:p>
            <w:r>
              <w:rPr>
                <w:rFonts w:ascii="Times New Roman" w:cs="Times New Roman" w:eastAsia="Times New Roman" w:hAnsi="Times New Roman"/>
                <w:b/>
                <w:bCs/>
                <w:color w:val="FFFFFF"/>
                <w:sz w:val="20"/>
                <w:szCs w:val="20"/>
              </w:rPr>
              <w:t xml:space="preserve">Dzogchen</w:t>
            </w:r>
          </w:p>
        </w:tc>
        <w:tc>
          <w:tcPr>
            <w:shd w:fill="1B3A6B" w:val="solid"/>
          </w:tcPr>
          <w:p>
            <w:r>
              <w:rPr>
                <w:rFonts w:ascii="Times New Roman" w:cs="Times New Roman" w:eastAsia="Times New Roman" w:hAnsi="Times New Roman"/>
                <w:b/>
                <w:bCs/>
                <w:color w:val="FFFFFF"/>
                <w:sz w:val="20"/>
                <w:szCs w:val="20"/>
              </w:rPr>
              <w:t xml:space="preserve">Mahamudra</w:t>
            </w:r>
          </w:p>
        </w:tc>
      </w:tr>
      <w:tr>
        <w:tc>
          <w:tcPr>
            <w:shd w:fill="EEF2F7" w:val="solid"/>
          </w:tcPr>
          <w:p>
            <w:r>
              <w:rPr>
                <w:rFonts w:ascii="Times New Roman" w:cs="Times New Roman" w:eastAsia="Times New Roman" w:hAnsi="Times New Roman"/>
                <w:b w:val="false"/>
                <w:bCs w:val="false"/>
                <w:color w:val="1F2937"/>
                <w:sz w:val="20"/>
                <w:szCs w:val="20"/>
              </w:rPr>
              <w:t xml:space="preserve">Origine géographique</w:t>
            </w:r>
          </w:p>
        </w:tc>
        <w:tc>
          <w:tcPr>
            <w:shd w:fill="FFFFFF" w:val="solid"/>
          </w:tcPr>
          <w:p>
            <w:r>
              <w:rPr>
                <w:rFonts w:ascii="Times New Roman" w:cs="Times New Roman" w:eastAsia="Times New Roman" w:hAnsi="Times New Roman"/>
                <w:b w:val="false"/>
                <w:bCs w:val="false"/>
                <w:color w:val="1F2937"/>
                <w:sz w:val="20"/>
                <w:szCs w:val="20"/>
              </w:rPr>
              <w:t xml:space="preserve">Inde occidentale (Cachemire, Gilgit) — selon R. R. Jackson</w:t>
            </w:r>
          </w:p>
        </w:tc>
        <w:tc>
          <w:tcPr>
            <w:shd w:fill="FFFFFF" w:val="solid"/>
          </w:tcPr>
          <w:p>
            <w:r>
              <w:rPr>
                <w:rFonts w:ascii="Times New Roman" w:cs="Times New Roman" w:eastAsia="Times New Roman" w:hAnsi="Times New Roman"/>
                <w:b w:val="false"/>
                <w:bCs w:val="false"/>
                <w:color w:val="1F2937"/>
                <w:sz w:val="20"/>
                <w:szCs w:val="20"/>
              </w:rPr>
              <w:t xml:space="preserve">Plaines de l'Inde orientale — lignée des mahāsiddhas</w:t>
            </w:r>
          </w:p>
        </w:tc>
      </w:tr>
      <w:tr>
        <w:tc>
          <w:tcPr>
            <w:shd w:fill="EEF2F7" w:val="solid"/>
          </w:tcPr>
          <w:p>
            <w:r>
              <w:rPr>
                <w:rFonts w:ascii="Times New Roman" w:cs="Times New Roman" w:eastAsia="Times New Roman" w:hAnsi="Times New Roman"/>
                <w:b w:val="false"/>
                <w:bCs w:val="false"/>
                <w:color w:val="1F2937"/>
                <w:sz w:val="20"/>
                <w:szCs w:val="20"/>
              </w:rPr>
              <w:t xml:space="preserve">École principale</w:t>
            </w:r>
          </w:p>
        </w:tc>
        <w:tc>
          <w:tcPr>
            <w:shd w:fill="EEF2F7" w:val="solid"/>
          </w:tcPr>
          <w:p>
            <w:r>
              <w:rPr>
                <w:rFonts w:ascii="Times New Roman" w:cs="Times New Roman" w:eastAsia="Times New Roman" w:hAnsi="Times New Roman"/>
                <w:b w:val="false"/>
                <w:bCs w:val="false"/>
                <w:color w:val="1F2937"/>
                <w:sz w:val="20"/>
                <w:szCs w:val="20"/>
              </w:rPr>
              <w:t xml:space="preserve">Nyingma (et Bön)</w:t>
            </w:r>
          </w:p>
        </w:tc>
        <w:tc>
          <w:tcPr>
            <w:shd w:fill="EEF2F7" w:val="solid"/>
          </w:tcPr>
          <w:p>
            <w:r>
              <w:rPr>
                <w:rFonts w:ascii="Times New Roman" w:cs="Times New Roman" w:eastAsia="Times New Roman" w:hAnsi="Times New Roman"/>
                <w:b w:val="false"/>
                <w:bCs w:val="false"/>
                <w:color w:val="1F2937"/>
                <w:sz w:val="20"/>
                <w:szCs w:val="20"/>
              </w:rPr>
              <w:t xml:space="preserve">Kagyü (aussi Sakya et Gelug)</w:t>
            </w:r>
          </w:p>
        </w:tc>
      </w:tr>
      <w:tr>
        <w:tc>
          <w:tcPr>
            <w:shd w:fill="EEF2F7" w:val="solid"/>
          </w:tcPr>
          <w:p>
            <w:r>
              <w:rPr>
                <w:rFonts w:ascii="Times New Roman" w:cs="Times New Roman" w:eastAsia="Times New Roman" w:hAnsi="Times New Roman"/>
                <w:b w:val="false"/>
                <w:bCs w:val="false"/>
                <w:color w:val="1F2937"/>
                <w:sz w:val="20"/>
                <w:szCs w:val="20"/>
              </w:rPr>
              <w:t xml:space="preserve">Terme central</w:t>
            </w:r>
          </w:p>
        </w:tc>
        <w:tc>
          <w:tcPr>
            <w:shd w:fill="FFFFFF" w:val="solid"/>
          </w:tcPr>
          <w:p>
            <w:r>
              <w:rPr>
                <w:rFonts w:ascii="Times New Roman" w:cs="Times New Roman" w:eastAsia="Times New Roman" w:hAnsi="Times New Roman"/>
                <w:b w:val="false"/>
                <w:bCs w:val="false"/>
                <w:color w:val="1F2937"/>
                <w:sz w:val="20"/>
                <w:szCs w:val="20"/>
              </w:rPr>
              <w:t xml:space="preserve">Rigpa (conscience primordiale auto-connaissante)</w:t>
            </w:r>
          </w:p>
        </w:tc>
        <w:tc>
          <w:tcPr>
            <w:shd w:fill="FFFFFF" w:val="solid"/>
          </w:tcPr>
          <w:p>
            <w:r>
              <w:rPr>
                <w:rFonts w:ascii="Times New Roman" w:cs="Times New Roman" w:eastAsia="Times New Roman" w:hAnsi="Times New Roman"/>
                <w:b w:val="false"/>
                <w:bCs w:val="false"/>
                <w:color w:val="1F2937"/>
                <w:sz w:val="20"/>
                <w:szCs w:val="20"/>
              </w:rPr>
              <w:t xml:space="preserve">Claire luminosité ou « mind-essence »</w:t>
            </w:r>
          </w:p>
        </w:tc>
      </w:tr>
      <w:tr>
        <w:tc>
          <w:tcPr>
            <w:shd w:fill="EEF2F7" w:val="solid"/>
          </w:tcPr>
          <w:p>
            <w:r>
              <w:rPr>
                <w:rFonts w:ascii="Times New Roman" w:cs="Times New Roman" w:eastAsia="Times New Roman" w:hAnsi="Times New Roman"/>
                <w:b w:val="false"/>
                <w:bCs w:val="false"/>
                <w:color w:val="1F2937"/>
                <w:sz w:val="20"/>
                <w:szCs w:val="20"/>
              </w:rPr>
              <w:t xml:space="preserve">Mode d'accès</w:t>
            </w:r>
          </w:p>
        </w:tc>
        <w:tc>
          <w:tcPr>
            <w:shd w:fill="EEF2F7" w:val="solid"/>
          </w:tcPr>
          <w:p>
            <w:r>
              <w:rPr>
                <w:rFonts w:ascii="Times New Roman" w:cs="Times New Roman" w:eastAsia="Times New Roman" w:hAnsi="Times New Roman"/>
                <w:b w:val="false"/>
                <w:bCs w:val="false"/>
                <w:color w:val="1F2937"/>
                <w:sz w:val="20"/>
                <w:szCs w:val="20"/>
              </w:rPr>
              <w:t xml:space="preserve">Reconnaissance directe sans arrêter les couches grossières</w:t>
            </w:r>
          </w:p>
        </w:tc>
        <w:tc>
          <w:tcPr>
            <w:shd w:fill="EEF2F7" w:val="solid"/>
          </w:tcPr>
          <w:p>
            <w:r>
              <w:rPr>
                <w:rFonts w:ascii="Times New Roman" w:cs="Times New Roman" w:eastAsia="Times New Roman" w:hAnsi="Times New Roman"/>
                <w:b w:val="false"/>
                <w:bCs w:val="false"/>
                <w:color w:val="1F2937"/>
                <w:sz w:val="20"/>
                <w:szCs w:val="20"/>
              </w:rPr>
              <w:t xml:space="preserve">Dissolution des vents-énergie ; attention progressive</w:t>
            </w:r>
          </w:p>
        </w:tc>
      </w:tr>
      <w:tr>
        <w:tc>
          <w:tcPr>
            <w:shd w:fill="EEF2F7" w:val="solid"/>
          </w:tcPr>
          <w:p>
            <w:r>
              <w:rPr>
                <w:rFonts w:ascii="Times New Roman" w:cs="Times New Roman" w:eastAsia="Times New Roman" w:hAnsi="Times New Roman"/>
                <w:b w:val="false"/>
                <w:bCs w:val="false"/>
                <w:color w:val="1F2937"/>
                <w:sz w:val="20"/>
                <w:szCs w:val="20"/>
              </w:rPr>
              <w:t xml:space="preserve">Structure des étapes</w:t>
            </w:r>
          </w:p>
        </w:tc>
        <w:tc>
          <w:tcPr>
            <w:shd w:fill="FFFFFF" w:val="solid"/>
          </w:tcPr>
          <w:p>
            <w:r>
              <w:rPr>
                <w:rFonts w:ascii="Times New Roman" w:cs="Times New Roman" w:eastAsia="Times New Roman" w:hAnsi="Times New Roman"/>
                <w:b w:val="false"/>
                <w:bCs w:val="false"/>
                <w:color w:val="1F2937"/>
                <w:sz w:val="20"/>
                <w:szCs w:val="20"/>
              </w:rPr>
              <w:t xml:space="preserve">Quatre visions du Tögal ; introduction à la non-méditation d'emblée</w:t>
            </w:r>
          </w:p>
        </w:tc>
        <w:tc>
          <w:tcPr>
            <w:shd w:fill="FFFFFF" w:val="solid"/>
          </w:tcPr>
          <w:p>
            <w:r>
              <w:rPr>
                <w:rFonts w:ascii="Times New Roman" w:cs="Times New Roman" w:eastAsia="Times New Roman" w:hAnsi="Times New Roman"/>
                <w:b w:val="false"/>
                <w:bCs w:val="false"/>
                <w:color w:val="1F2937"/>
                <w:sz w:val="20"/>
                <w:szCs w:val="20"/>
              </w:rPr>
              <w:t xml:space="preserve">Quatre yogas (un-pointu, simplicité, un-goût, non-méditation)</w:t>
            </w:r>
          </w:p>
        </w:tc>
      </w:tr>
    </w:tbl>
    <w:p>
      <w:r>
        <w:t xml:space="preserve"/>
      </w:r>
    </w:p>
    <w:p>
      <w:pPr>
        <w:spacing w:after="80" w:before="80"/>
      </w:pPr>
      <w:r>
        <w:rPr>
          <w:rFonts w:ascii="Times New Roman" w:cs="Times New Roman" w:eastAsia="Times New Roman" w:hAnsi="Times New Roman"/>
          <w:color w:val="1F2937"/>
          <w:sz w:val="22"/>
          <w:szCs w:val="22"/>
        </w:rPr>
        <w:t xml:space="preserve">(Note sur le corrigé : les cases de la colonne Mahamudra reflètent principalement la tradition Kagyü. La Sakya et la Gelug ont leurs propres formulations.)</w:t>
      </w:r>
    </w:p>
    <w:p>
      <w:pPr>
        <w:pStyle w:val="Heading3"/>
        <w:spacing w:after="80" w:before="200"/>
      </w:pPr>
      <w:r>
        <w:rPr>
          <w:rFonts w:ascii="Times New Roman" w:cs="Times New Roman" w:eastAsia="Times New Roman" w:hAnsi="Times New Roman"/>
          <w:b/>
          <w:bCs/>
          <w:color w:val="1F2937"/>
          <w:sz w:val="26"/>
          <w:szCs w:val="26"/>
        </w:rPr>
        <w:t xml:space="preserve">Exercice 2 — Expérience du contraste méditatif (15-20 min)</w:t>
      </w:r>
    </w:p>
    <w:p>
      <w:pPr>
        <w:spacing w:after="80" w:before="80"/>
      </w:pPr>
      <w:r>
        <w:rPr>
          <w:rFonts w:ascii="Times New Roman" w:cs="Times New Roman" w:eastAsia="Times New Roman" w:hAnsi="Times New Roman"/>
          <w:color w:val="1F2937"/>
          <w:sz w:val="22"/>
          <w:szCs w:val="22"/>
        </w:rPr>
        <w:t xml:space="preserve">Installe-toi en position stable, yeux mi-clos ou fermés.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Première phase — approche Dzogchen (7 min) : laisse l'esprit se reposer sans effort. Ne cherche pas à modifier le flux des pensées. Quand une pensée surgit, reconnaît-la comme une manifestation spontanée de la conscience, sans la suivre ni la rejeter. Reste dans la relaxation ouverte.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Deuxième phase — approche Mahamudra (7 min) : introduis une légère attention. Observe : d'où viennent les pensées ? Où vont-elles ? Qui observe ? Reste présent à chaque perception sensorielle (son, sensation corporelle) sans la rejeter — accueille-la comme support de l'entraînement.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Troisième phase — observation (3 min) : note par écrit la différence de qualité d'attention entre les deux phases. Quelle posture de conscience était plus naturelle pour toi aujourd'hui ?</w:t>
      </w:r>
    </w:p>
    <w:p>
      <w:pPr>
        <w:spacing w:after="80" w:before="80"/>
      </w:pPr>
      <w:r>
        <w:rPr>
          <w:rFonts w:ascii="Times New Roman" w:cs="Times New Roman" w:eastAsia="Times New Roman" w:hAnsi="Times New Roman"/>
          <w:color w:val="1F2937"/>
          <w:sz w:val="22"/>
          <w:szCs w:val="22"/>
        </w:rPr>
        <w:t xml:space="preserve">Cet exercice ne cherche pas à reproduire une pratique authentique (qui nécessite une transmission) — il permet de toucher expérientiellement la différence pédagogique que les maîtres décrivent.</w:t>
      </w:r>
    </w:p>
    <w:p>
      <w:pPr>
        <w:pStyle w:val="Heading3"/>
        <w:spacing w:after="80" w:before="200"/>
      </w:pPr>
      <w:r>
        <w:rPr>
          <w:rFonts w:ascii="Times New Roman" w:cs="Times New Roman" w:eastAsia="Times New Roman" w:hAnsi="Times New Roman"/>
          <w:b/>
          <w:bCs/>
          <w:color w:val="1F2937"/>
          <w:sz w:val="26"/>
          <w:szCs w:val="26"/>
        </w:rPr>
        <w:t xml:space="preserve">Exercice 3 — Défense d'une thèse (10 min)</w:t>
      </w:r>
    </w:p>
    <w:p>
      <w:pPr>
        <w:spacing w:after="80" w:before="80"/>
      </w:pPr>
      <w:r>
        <w:rPr>
          <w:rFonts w:ascii="Times New Roman" w:cs="Times New Roman" w:eastAsia="Times New Roman" w:hAnsi="Times New Roman"/>
          <w:color w:val="1F2937"/>
          <w:sz w:val="22"/>
          <w:szCs w:val="22"/>
        </w:rPr>
        <w:t xml:space="preserve">Choisis l'une des deux positions suivantes et rédige un argument de 5 lignes pour la défendre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Thèse A : « Dzogchen et Mahamudra sont la même réalisation, exprimée dans des langages différents.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Thèse B : « Ce sont des voies distinctes : leurs méthodes, leurs vocabulaires et leurs présupposés philosophiques ne se réduisent pas l'un à l'autre. »</w:t>
      </w:r>
    </w:p>
    <w:p>
      <w:pPr>
        <w:spacing w:after="80" w:before="80"/>
      </w:pPr>
      <w:r>
        <w:rPr>
          <w:rFonts w:ascii="Times New Roman" w:cs="Times New Roman" w:eastAsia="Times New Roman" w:hAnsi="Times New Roman"/>
          <w:color w:val="1F2937"/>
          <w:sz w:val="22"/>
          <w:szCs w:val="22"/>
        </w:rPr>
        <w:t xml:space="preserve">Puis rédige 3 lignes pour la thèse adverse.</w:t>
      </w:r>
    </w:p>
    <w:p>
      <w:pPr>
        <w:spacing w:after="80" w:before="80"/>
      </w:pPr>
      <w:r>
        <w:rPr>
          <w:rFonts w:ascii="Times New Roman" w:cs="Times New Roman" w:eastAsia="Times New Roman" w:hAnsi="Times New Roman"/>
          <w:color w:val="1F2937"/>
          <w:sz w:val="22"/>
          <w:szCs w:val="22"/>
        </w:rPr>
        <w:t xml:space="preserve">Corrigé-guide : la thèse A s'appuie sur Tsele Natsok Rangdröl, Adeu Rinpoché et la convergence vers les trois kāyas. La thèse B s'appuie sur la distinction rigpa / claire luminosité, le rôle différent des apparences et la spécificité de la reconnaissance Dzogchen. Les deux positions sont représentées dans la tradition par des maîtres qui les ont défendues de bonne foi — le débat reste ouvert.</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w:t>
      </w:r>
    </w:p>
    <w:p>
      <w:pPr>
        <w:pStyle w:val="Heading3"/>
        <w:spacing w:after="80" w:before="200"/>
      </w:pPr>
      <w:r>
        <w:rPr>
          <w:rFonts w:ascii="Times New Roman" w:cs="Times New Roman" w:eastAsia="Times New Roman" w:hAnsi="Times New Roman"/>
          <w:b/>
          <w:bCs/>
          <w:color w:val="1F2937"/>
          <w:sz w:val="26"/>
          <w:szCs w:val="26"/>
        </w:rPr>
        <w:t xml:space="preserve">Tenir deux cartes — le cas d'Adeu Rinpoché</w:t>
      </w:r>
    </w:p>
    <w:p>
      <w:pPr>
        <w:spacing w:after="80" w:before="80"/>
      </w:pPr>
      <w:r>
        <w:rPr>
          <w:rFonts w:ascii="Times New Roman" w:cs="Times New Roman" w:eastAsia="Times New Roman" w:hAnsi="Times New Roman"/>
          <w:color w:val="1F2937"/>
          <w:sz w:val="22"/>
          <w:szCs w:val="22"/>
        </w:rPr>
        <w:t xml:space="preserve">Adeu Rinpoché (1931-2007) était maître des lignées Drukpa Kagyü et Nyingma. Il pouvait enseigner aussi bien la Mahamudra que le Dzogchen. Dans Lion's Roar il écrit que les deux approches sont « identical in essence—you may follow one or the other—however, each has its own unique instructions », et compare : « It is like approaching Bodhgaya from the south or the north—both roads lead to the same destination. »</w:t>
      </w:r>
      <w:r>
        <w:rPr>
          <w:rFonts w:ascii="Times New Roman" w:cs="Times New Roman" w:eastAsia="Times New Roman" w:hAnsi="Times New Roman"/>
          <w:i/>
          <w:iCs/>
          <w:color w:val="6B7280"/>
          <w:sz w:val="20"/>
          <w:szCs w:val="20"/>
        </w:rPr>
        <w:t xml:space="preserve"> [Corrigé le 23/09/2026 : la leçon livrée écrivait « sans jamais affirmer que l'une rendait l'autre superflue » — la page dit ce qu'il enseignait, pas ce qu'il n'a jamais affirmé. Sa position y est écrite, elle remplace la négation.]</w:t>
      </w:r>
    </w:p>
    <w:p>
      <w:pPr>
        <w:spacing w:after="80" w:before="80"/>
      </w:pPr>
      <w:r>
        <w:rPr>
          <w:rFonts w:ascii="Times New Roman" w:cs="Times New Roman" w:eastAsia="Times New Roman" w:hAnsi="Times New Roman"/>
          <w:color w:val="1F2937"/>
          <w:sz w:val="22"/>
          <w:szCs w:val="22"/>
        </w:rPr>
        <w:t xml:space="preserve">Rédige une réponse de 10-15 lignes à la question suivante : à quelles conditions un maître peut-il porter deux voies sans les fusionner ni les hiérarchiser ? Ta réponse doit mobiliser au moins trois éléments de la leçon du jour (une convergence, une différence, et la notion de transmission).</w:t>
      </w:r>
    </w:p>
    <w:p>
      <w:pPr>
        <w:spacing w:after="80" w:before="80"/>
      </w:pPr>
      <w:r>
        <w:rPr>
          <w:rFonts w:ascii="Times New Roman" w:cs="Times New Roman" w:eastAsia="Times New Roman" w:hAnsi="Times New Roman"/>
          <w:color w:val="1F2937"/>
          <w:sz w:val="22"/>
          <w:szCs w:val="22"/>
        </w:rPr>
        <w:t xml:space="preserve">Piste de réflexion : est-ce la maîtrise technique qui permet de « tenir deux cartes », ou quelque chose de plus fondamental ? En quoi la notion de transmission (samaya, relation au maître) joue-t-elle un rôle ici ?</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w:t>
      </w:r>
    </w:p>
    <w:p>
      <w:pPr>
        <w:spacing w:after="80" w:before="80"/>
      </w:pPr>
      <w:r>
        <w:rPr>
          <w:rFonts w:ascii="Times New Roman" w:cs="Times New Roman" w:eastAsia="Times New Roman" w:hAnsi="Times New Roman"/>
          <w:color w:val="1F2937"/>
          <w:sz w:val="22"/>
          <w:szCs w:val="22"/>
        </w:rPr>
        <w:t xml:space="preserve">La capacité à distinguer deux cadres de référence sans les fusionner ni les hiérarchiser est aussi une compétence professionnelle. Un chef de service en ESSMS navigue entre des approches qui peuvent décrire la même réalité humaine avec des vocabulaires distincts — approches éducative et clinique, référentiels de l'autodétermination et de la protection, pratiques individuelles et collectives. La tentation est soit de tout réduire à une seule grille, soit de voir des contradictions là où il y a des emphases différentes. Tenir deux cartes — savoir quand l'une ou l'autre éclaire mieux la situation — est exactement ce que ces maîtres bouddhistes décrivent, et c'est une posture utile bien au-delà de la spiritualité.</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color w:val="1F2937"/>
          <w:sz w:val="22"/>
          <w:szCs w:val="22"/>
        </w:rPr>
        <w:t xml:space="preserve">Toutes les URL ont été testées (HTTP 200) le 22 septembre 2026, et rouvertes une à une le 23 septembre 2026 pour la correction.</w:t>
      </w:r>
    </w:p>
    <w:p>
      <w:pPr>
        <w:pStyle w:val="ListParagraph"/>
        <w:numPr>
          <w:ilvl w:val="0"/>
          <w:numId w:val="1"/>
        </w:numPr>
        <w:spacing w:after="60" w:before="60"/>
      </w:pPr>
      <w:hyperlink w:history="1" r:id="rIdo5no0ipjvakvl83xjdvtd">
        <w:r>
          <w:rPr>
            <w:rFonts w:ascii="Times New Roman" w:cs="Times New Roman" w:eastAsia="Times New Roman" w:hAnsi="Times New Roman"/>
            <w:color w:val="1155CC"/>
            <w:sz w:val="22"/>
            <w:szCs w:val="22"/>
            <w:u w:val="single"/>
          </w:rPr>
          <w:t xml:space="preserve">lionsroar.com — Comparing Mahamudra and Dzogchen (citations de Tsele Natsok Rangdröl)</w:t>
        </w:r>
      </w:hyperlink>
    </w:p>
    <w:p>
      <w:pPr>
        <w:pStyle w:val="ListParagraph"/>
        <w:numPr>
          <w:ilvl w:val="0"/>
          <w:numId w:val="1"/>
        </w:numPr>
        <w:spacing w:after="60" w:before="60"/>
      </w:pPr>
      <w:hyperlink w:history="1" r:id="rId5orix_zwz3xfx4ze5mm_l">
        <w:r>
          <w:rPr>
            <w:rFonts w:ascii="Times New Roman" w:cs="Times New Roman" w:eastAsia="Times New Roman" w:hAnsi="Times New Roman"/>
            <w:color w:val="1155CC"/>
            <w:sz w:val="22"/>
            <w:szCs w:val="22"/>
            <w:u w:val="single"/>
          </w:rPr>
          <w:t xml:space="preserve">lionsroar.com — Empty, Pure, Luminous: Mind in Dzogchen and Mahamudra (Roger R. Jackson)</w:t>
        </w:r>
      </w:hyperlink>
    </w:p>
    <w:p>
      <w:pPr>
        <w:pStyle w:val="ListParagraph"/>
        <w:numPr>
          <w:ilvl w:val="0"/>
          <w:numId w:val="1"/>
        </w:numPr>
        <w:spacing w:after="60" w:before="60"/>
      </w:pPr>
      <w:hyperlink w:history="1" r:id="rIdmbeycz7obd8vflcg4yces">
        <w:r>
          <w:rPr>
            <w:rFonts w:ascii="Times New Roman" w:cs="Times New Roman" w:eastAsia="Times New Roman" w:hAnsi="Times New Roman"/>
            <w:color w:val="1155CC"/>
            <w:sz w:val="22"/>
            <w:szCs w:val="22"/>
            <w:u w:val="single"/>
          </w:rPr>
          <w:t xml:space="preserve">lionsroar.com — Dzogchen and Mahamudra, Two Great Paths (Adeu Rinpoché, 1931-2007)</w:t>
        </w:r>
      </w:hyperlink>
    </w:p>
    <w:p>
      <w:pPr>
        <w:pStyle w:val="ListParagraph"/>
        <w:numPr>
          <w:ilvl w:val="0"/>
          <w:numId w:val="1"/>
        </w:numPr>
        <w:spacing w:after="60" w:before="60"/>
      </w:pPr>
      <w:hyperlink w:history="1" r:id="rIdh_ytkgslfwqhbyrbaovpq">
        <w:r>
          <w:rPr>
            <w:rFonts w:ascii="Times New Roman" w:cs="Times New Roman" w:eastAsia="Times New Roman" w:hAnsi="Times New Roman"/>
            <w:color w:val="1155CC"/>
            <w:sz w:val="22"/>
            <w:szCs w:val="22"/>
            <w:u w:val="single"/>
          </w:rPr>
          <w:t xml:space="preserve">studybuddhism.com (Berzin Archives) — Dzogchen in Comparison with Other Buddhist Systems</w:t>
        </w:r>
      </w:hyperlink>
    </w:p>
    <w:p>
      <w:pPr>
        <w:pStyle w:val="ListParagraph"/>
        <w:numPr>
          <w:ilvl w:val="0"/>
          <w:numId w:val="1"/>
        </w:numPr>
        <w:spacing w:after="60" w:before="60"/>
      </w:pPr>
      <w:hyperlink w:history="1" r:id="rIdeula3uovekhlctljwrouj">
        <w:r>
          <w:rPr>
            <w:rFonts w:ascii="Times New Roman" w:cs="Times New Roman" w:eastAsia="Times New Roman" w:hAnsi="Times New Roman"/>
            <w:color w:val="1155CC"/>
            <w:sz w:val="22"/>
            <w:szCs w:val="22"/>
            <w:u w:val="single"/>
          </w:rPr>
          <w:t xml:space="preserve">Wikipedia — Mahāmudrā (origines, écoles, structure des quatre yogas)</w:t>
        </w:r>
      </w:hyperlink>
    </w:p>
    <w:p>
      <w:pPr>
        <w:pStyle w:val="ListParagraph"/>
        <w:numPr>
          <w:ilvl w:val="0"/>
          <w:numId w:val="1"/>
        </w:numPr>
        <w:spacing w:after="60" w:before="60"/>
      </w:pPr>
      <w:hyperlink w:history="1" r:id="rId7-8hje1svkc7-a0n_lx4e">
        <w:r>
          <w:rPr>
            <w:rFonts w:ascii="Times New Roman" w:cs="Times New Roman" w:eastAsia="Times New Roman" w:hAnsi="Times New Roman"/>
            <w:color w:val="1155CC"/>
            <w:sz w:val="22"/>
            <w:szCs w:val="22"/>
            <w:u w:val="single"/>
          </w:rPr>
          <w:t xml:space="preserve">Wikipedia — Rangjung Dorje (3e Karmapa) — dates discordantes : 1284-1338 (Suchan) ou 1284-1339 (notices d'autorité)</w:t>
        </w:r>
      </w:hyperlink>
    </w:p>
    <w:p>
      <w:pPr>
        <w:pStyle w:val="ListParagraph"/>
        <w:numPr>
          <w:ilvl w:val="0"/>
          <w:numId w:val="1"/>
        </w:numPr>
        <w:spacing w:after="60" w:before="60"/>
      </w:pPr>
      <w:hyperlink w:history="1" r:id="rId19difqc0rjcioyc_oomjw">
        <w:r>
          <w:rPr>
            <w:rFonts w:ascii="Times New Roman" w:cs="Times New Roman" w:eastAsia="Times New Roman" w:hAnsi="Times New Roman"/>
            <w:color w:val="1155CC"/>
            <w:sz w:val="22"/>
            <w:szCs w:val="22"/>
            <w:u w:val="single"/>
          </w:rPr>
          <w:t xml:space="preserve">Wikipedia — Karma Chagmé (1613-1678) — textes sur l'union Mahamudra/Atiyoga</w:t>
        </w:r>
      </w:hyperlink>
    </w:p>
    <w:p>
      <w:pPr>
        <w:pStyle w:val="ListParagraph"/>
        <w:numPr>
          <w:ilvl w:val="0"/>
          <w:numId w:val="1"/>
        </w:numPr>
        <w:spacing w:after="60" w:before="60"/>
      </w:pPr>
      <w:hyperlink w:history="1" r:id="rIdttvolaecb5zh19p-mptyf">
        <w:r>
          <w:rPr>
            <w:rFonts w:ascii="Times New Roman" w:cs="Times New Roman" w:eastAsia="Times New Roman" w:hAnsi="Times New Roman"/>
            <w:color w:val="1155CC"/>
            <w:sz w:val="22"/>
            <w:szCs w:val="22"/>
            <w:u w:val="single"/>
          </w:rPr>
          <w:t xml:space="preserve">Wikipedia — Mipham Rinpoché (1846-1912) — synthèse Dzogchen/Madhyamaka</w:t>
        </w:r>
      </w:hyperlink>
    </w:p>
    <w:p>
      <w:pPr>
        <w:pStyle w:val="ListParagraph"/>
        <w:numPr>
          <w:ilvl w:val="0"/>
          <w:numId w:val="1"/>
        </w:numPr>
        <w:spacing w:after="60" w:before="60"/>
      </w:pPr>
      <w:hyperlink w:history="1" r:id="rIdLotsawaMemorandum">
        <w:r>
          <w:rPr>
            <w:rFonts w:ascii="Times New Roman" w:cs="Times New Roman" w:eastAsia="Times New Roman" w:hAnsi="Times New Roman"/>
            <w:color w:val="1155CC"/>
            <w:sz w:val="22"/>
            <w:szCs w:val="22"/>
            <w:u w:val="single"/>
          </w:rPr>
          <w:t xml:space="preserve">lotsawahouse.org — Memorandum on the Subject of Mahāmudrā and Dzogchen Instructions (Do-Ngak Chökyi Gyatso)</w:t>
        </w:r>
      </w:hyperlink>
      <w:r>
        <w:rPr>
          <w:rFonts w:ascii="Times New Roman" w:cs="Times New Roman" w:eastAsia="Times New Roman" w:hAnsi="Times New Roman"/>
          <w:i/>
          <w:iCs/>
          <w:color w:val="6B7280"/>
          <w:sz w:val="20"/>
          <w:szCs w:val="20"/>
        </w:rPr>
        <w:t xml:space="preserve"> [Ajouté le 23/09/2026]</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18 / 20 — Le Dzogchen dans la tradition Bön</w:t>
      </w:r>
    </w:p>
    <w:p>
      <w:pPr>
        <w:spacing w:after="80" w:before="80"/>
      </w:pPr>
      <w:r>
        <w:rPr>
          <w:rFonts w:ascii="Times New Roman" w:cs="Times New Roman" w:eastAsia="Times New Roman" w:hAnsi="Times New Roman"/>
          <w:color w:val="1F2937"/>
          <w:sz w:val="22"/>
          <w:szCs w:val="22"/>
        </w:rPr>
        <w:t xml:space="preserve">Nous quitterons le bouddhisme tibétain pour explorer comment le Dzogchen s'est développé — en parallèle ou en relation ? — dans la tradition Bön, la religion indigène du Tibet antérieur au bouddhisme. Les questions de priorité historique, de parenté et de distinction seront au cœur de la leçon.</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Note de transparence</w:t>
      </w:r>
    </w:p>
    <w:p>
      <w:pPr>
        <w:spacing w:after="80" w:before="80"/>
      </w:pPr>
      <w:r>
        <w:rPr>
          <w:rFonts w:ascii="Times New Roman" w:cs="Times New Roman" w:eastAsia="Times New Roman" w:hAnsi="Times New Roman"/>
          <w:color w:val="1F2937"/>
          <w:sz w:val="22"/>
          <w:szCs w:val="22"/>
        </w:rPr>
        <w:t xml:space="preserve">Sources non accessibles lors de l'exécution du 22/09/2026 : Rigpa Wiki (403) ; Lotsawa House — page du texte de Do-Ngak Chökyi Gyatso (404, slug erroné). Le 23/09/2026, la page a été retrouvée et lue (HTTP 200) : le texte est cité d'après lui-même et lié dans les ressources.</w:t>
      </w:r>
    </w:p>
    <w:p>
      <w:pPr>
        <w:spacing w:after="80" w:before="80"/>
      </w:pPr>
      <w:r>
        <w:rPr>
          <w:rFonts w:ascii="Times New Roman" w:cs="Times New Roman" w:eastAsia="Times New Roman" w:hAnsi="Times New Roman"/>
          <w:color w:val="1F2937"/>
          <w:sz w:val="22"/>
          <w:szCs w:val="22"/>
        </w:rPr>
        <w:t xml:space="preserve">Discordance non tranchée : date de mort du 3e Karmapa Rangjung Dorjé — 1338 selon Suchan (1998), 1339 selon les notices d'autorité citées par Wikipedia. Les deux versions sont reportées ; la leçon ne tranche pas.</w:t>
      </w:r>
    </w:p>
    <w:p>
      <w:pPr>
        <w:spacing w:after="80" w:before="80"/>
      </w:pPr>
      <w:r>
        <w:rPr>
          <w:rFonts w:ascii="Times New Roman" w:cs="Times New Roman" w:eastAsia="Times New Roman" w:hAnsi="Times New Roman"/>
          <w:color w:val="1F2937"/>
          <w:sz w:val="22"/>
          <w:szCs w:val="22"/>
        </w:rPr>
        <w:t xml:space="preserve">Dates non vérifiées dans cette exécution : celles de Saraha (8e siècle, approximation courante dans la tradition). La date de Jigme Lingpa (1730-1798 selon Jackson / Lion's Roar) présente une discordance mineure avec la leçon 16 de ce parcours, qui mentionnait « 1729 ou 1730 » pour la naissance — cette incertitude est connue et documentée dans le parcours.</w:t>
      </w:r>
    </w:p>
    <w:p>
      <w:pPr>
        <w:pStyle w:val="Heading3"/>
        <w:spacing w:after="80" w:before="240"/>
      </w:pPr>
      <w:r>
        <w:rPr>
          <w:rFonts w:ascii="Times New Roman" w:cs="Times New Roman" w:eastAsia="Times New Roman" w:hAnsi="Times New Roman"/>
          <w:b/>
          <w:bCs/>
          <w:color w:val="1F2937"/>
          <w:sz w:val="26"/>
          <w:szCs w:val="26"/>
        </w:rPr>
        <w:t xml:space="preserve">📝 Journal des corrections</w:t>
      </w:r>
    </w:p>
    <w:p>
      <w:pPr>
        <w:spacing w:after="80" w:before="80"/>
      </w:pPr>
      <w:r>
        <w:rPr>
          <w:rFonts w:ascii="Times New Roman" w:cs="Times New Roman" w:eastAsia="Times New Roman" w:hAnsi="Times New Roman"/>
          <w:i/>
          <w:iCs/>
          <w:color w:val="6B7280"/>
          <w:sz w:val="20"/>
          <w:szCs w:val="20"/>
        </w:rPr>
        <w:t xml:space="preserve">Corrigée le 23/09/2026. Les huit pages sources ont été rouvertes une à une avec un agent de navigateur et relues mot pour mot. Les formulations d'origine sont conservées ici, et seulement ici.</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① Titre de section : « 2. Le 3e Karmapa Rangjung Dorjé — un pont vivant » → « détenteur des deux lignées ». La règle A6 de ce parcours a été écrite le 08/09/2026 pour cet homme précisément, en retirant « pont entre les écoles Nyingma et Kagyü » de la leçon 15.</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② « Il incarne ainsi la possibilité de tenir les deux lignées sans les confondre. » → remplacé par ce que la notice porte : détenteur des deux lignées, et l'échange avec Longchenpa (Dzogchen contre tantras des Nouvelles Traductions).</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③ « cité dans Lion's Roar » (deux fois) → l'article est signé « By Tulku Urgyen Rinpoche » (1920-1996). La leçon s'appuyait huit fois sur son texte sans jamais le nommer.</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④ « Selon Alexander Berzin …, elles tiennent à au moins quatre points » → les points 1 et 3 sont de Berzin (vérifiés mot pour mot : « innately aware of its own void nature », et l'accès au rigpa « without need to dissolve the energy-winds ») ; les points 2 et 4 sont de Tulku Urgyen Rinpoché. Sa page ne contient ni « abandon » ni « four yogas ». Ajouté : ce que sa section « The Differences between Mahamudra and Dzogchen » dit et que la leçon laissait de côté (sūtra et anuttarayoga selon les écoles ; « Dzogchen practice … is exclusively done on the highest level of tantra »).</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⑤ « sans opérer spécifiquement de synthèse avec la Mahamudra Kagyü (Wikipedia / Mipham Rinpoché) » → retiré. La notice ne contient aucune occurrence du mot Mahamudra sur 49 602 caractères : elle n'en dit rien. Règle B2.</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⑥ « Union de la Mahamudra et de l'Ati Yoga » → le titre de la page, « Union of mahāmudrā and Ati Yoga », avec ce qu'elle ajoute : « originated by Karma Chagme », qui relie ce paragraphe au précédent.</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⑦ « cette description provient de la page principale de Lotsawa House, le lien direct du texte (404) n'a pas pu être ouvert » → la page principale ne mentionne ni le titre ni l'auteur (7 968 caractères). Le texte, lui, existe : le slug essayé était « do-ngak-chokyi-gyatso », le bon est « dongak-chokyi-gyatso ». Page ouverte (7 815 caractères), citée d'après elle-même, liée, et ajoutée aux ressources. Le mot « gradualiste » de la leçon livrée n'est pas du texte : c'est le résumé que Lotsawa House en donne sur sa page de thème Mahāmudrā. Le texte, lui, vise ceux qui veulent faire commencer tout le monde par la Mahāmudrā ou le Dzogchen.</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⑧ Challenge : « sans jamais affirmer que l'une rendait l'autre superflue » → ce qu'Adeu Rinpoché écrit (« identical in essence—you may follow one or the other—however, each has its own unique instructions » ; « It is like approaching Bodhgaya from the south or the north »).</w:t>
      </w:r>
    </w:p>
    <w:p>
      <w:pPr>
        <w:pStyle w:val="ListParagraph"/>
        <w:numPr>
          <w:ilvl w:val="0"/>
          <w:numId w:val="1"/>
        </w:numPr>
        <w:spacing w:after="60" w:before="60"/>
      </w:pPr>
      <w:r>
        <w:rPr>
          <w:rFonts w:ascii="Times New Roman" w:cs="Times New Roman" w:eastAsia="Times New Roman" w:hAnsi="Times New Roman"/>
          <w:i/>
          <w:iCs/>
          <w:color w:val="6B7280"/>
          <w:sz w:val="20"/>
          <w:szCs w:val="20"/>
        </w:rPr>
        <w:t xml:space="preserve">Non modifié, après vérification : le contraste sur les apparences (la page dit bien « You abandon all appearances and only rest in rigpa » pour le Dzogchen et « We do not need to cast them away or abandon them » pour la Mahamudra — la leçon était fidèle, seule l'attribution était fausse) ; la discordance 1338 / 1339 (1339 dans le corps de la notice, 1338 dans le titre d'une référence de Tom Suchan, 1998 — les deux sont bien sur la même page) ; les citations de Tsele, d'Adeu et de Roger R. Jackson, exactes.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5no0ipjvakvl83xjdvtd" Type="http://schemas.openxmlformats.org/officeDocument/2006/relationships/hyperlink" Target="https://www.lionsroar.com/mahamudra-vs-dzogchen/" TargetMode="External"/><Relationship Id="rId5orix_zwz3xfx4ze5mm_l" Type="http://schemas.openxmlformats.org/officeDocument/2006/relationships/hyperlink" Target="https://www.lionsroar.com/empty-pure-luminous-mind-in-dzogchen-and-mahamudra/" TargetMode="External"/><Relationship Id="rIdmbeycz7obd8vflcg4yces" Type="http://schemas.openxmlformats.org/officeDocument/2006/relationships/hyperlink" Target="https://www.lionsroar.com/dzogchen-mahamudra-two-great-paths/" TargetMode="External"/><Relationship Id="rIdh_ytkgslfwqhbyrbaovpq" Type="http://schemas.openxmlformats.org/officeDocument/2006/relationships/hyperlink" Target="https://studybuddhism.com/en/advanced-studies/vajrayana/dzogchen-advanced/dzogchen-in-comparison-with-other-buddhist-systems" TargetMode="External"/><Relationship Id="rIdeula3uovekhlctljwrouj" Type="http://schemas.openxmlformats.org/officeDocument/2006/relationships/hyperlink" Target="https://en.wikipedia.org/wiki/Mahamudra" TargetMode="External"/><Relationship Id="rId7-8hje1svkc7-a0n_lx4e" Type="http://schemas.openxmlformats.org/officeDocument/2006/relationships/hyperlink" Target="https://en.wikipedia.org/wiki/Rangjung_Dorje" TargetMode="External"/><Relationship Id="rId19difqc0rjcioyc_oomjw" Type="http://schemas.openxmlformats.org/officeDocument/2006/relationships/hyperlink" Target="https://en.wikipedia.org/wiki/Karma_Chagme" TargetMode="External"/><Relationship Id="rIdttvolaecb5zh19p-mptyf" Type="http://schemas.openxmlformats.org/officeDocument/2006/relationships/hyperlink" Target="https://en.wikipedia.org/wiki/Mipham_Rinpoche" TargetMode="External"/><Relationship Id="rId15" Type="http://schemas.openxmlformats.org/officeDocument/2006/relationships/fontTable" Target="fontTable.xml"/><Relationship Id="rIdLotsawaMemorandum" Type="http://schemas.openxmlformats.org/officeDocument/2006/relationships/hyperlink" Target="https://www.lotsawahouse.org/tibetan-masters/dongak-chokyi-gyatso/memorandum-mahamudra-dzogche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2026-09-22T06:21:09.746Z</dcterms:created>
  <dcterms:modified xsi:type="dcterms:W3CDTF">2026-09-22T06:21:09.889Z</dcterms:modified>
</cp:coreProperties>
</file>

<file path=docProps/custom.xml><?xml version="1.0" encoding="utf-8"?>
<Properties xmlns="http://schemas.openxmlformats.org/officeDocument/2006/custom-properties" xmlns:vt="http://schemas.openxmlformats.org/officeDocument/2006/docPropsVTypes"/>
</file>