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Revenus passifs n°4 — L'économie réelle</w:t>
      </w:r>
    </w:p>
    <w:p>
      <w:pPr>
        <w:spacing w:after="80"/>
        <w:jc w:val="center"/>
      </w:pPr>
      <w:r>
        <w:rPr>
          <w:rFonts w:ascii="Times New Roman" w:cs="Times New Roman" w:eastAsia="Times New Roman" w:hAnsi="Times New Roman"/>
          <w:color w:val="1B3A6B"/>
          <w:sz w:val="24"/>
          <w:szCs w:val="24"/>
        </w:rPr>
        <w:t xml:space="preserve">Coûts cachés · Maintenance · Fiscalité française · Taux d'échec</w:t>
      </w:r>
    </w:p>
    <w:p>
      <w:pPr>
        <w:spacing w:after="80"/>
        <w:jc w:val="center"/>
      </w:pPr>
      <w:r>
        <w:rPr>
          <w:rFonts w:ascii="Times New Roman" w:cs="Times New Roman" w:eastAsia="Times New Roman" w:hAnsi="Times New Roman"/>
          <w:color w:val="1F2937"/>
          <w:sz w:val="22"/>
          <w:szCs w:val="22"/>
        </w:rPr>
        <w:t xml:space="preserve">16 août 2026 — Leçon 4 / 10</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Cadre déontologique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Cette leçon est ÉDUCATIVE et GÉNÉRALISTE. Elle n'a pas valeur de conseil en investissement ni de recommandation personnalisée.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Le conseil en investissement financier est une activité réglementée en France (statut CIF, registre ORIAS) : je ne suis pas conseiller agréé.</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Toute décision d'investissement relève de ta propre responsabilité, le cas échéant avec un professionnel agréé.</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Cette leçon est délibérément axée sur les coûts, les échecs et les arnaques — parce que c'est exactement ce que la plupart des formations payantes minimisent ou dissimulent.</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120"/>
      </w:pPr>
      <w:r>
        <w:rPr>
          <w:rFonts w:ascii="Times New Roman" w:cs="Times New Roman" w:eastAsia="Times New Roman" w:hAnsi="Times New Roman"/>
          <w:b w:val="false"/>
          <w:bCs w:val="false"/>
          <w:color w:val="1F2937"/>
          <w:sz w:val="22"/>
          <w:szCs w:val="22"/>
        </w:rPr>
        <w:t xml:space="preserve">À l'issue de cette leçon, tu seras capable de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Calculer le rendement NET réel d'un modèle passif (après frais, impôts, maintenance)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Identifier les coûts cachés propres à chaque grande famille de revenus passifs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Appliquer le barème fiscal français sur les revenus du capital et les revenus fonciers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Reconnaître les signaux d'alerte d'une arnaque ciblant les aspirants rentiers</w:t>
      </w:r>
    </w:p>
    <w:p>
      <w:pPr>
        <w:spacing w:after="120"/>
      </w:pP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Lien avec les leçons précédentes : la leçon 3 a modélisé les trois intrants (capital, temps, compétence) et le point de bascule vers la passivité. Cette leçon 4 applique l'économie réelle à ce modèle : combien ça coûte vraiment, comment c'est taxé, et à quelle fréquence ça échoue. C'est la leçon la plus dérangeante — et probablement la plus utile.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Théorie (20%) — Ce que les formateurs ne disent pas</w:t>
      </w:r>
    </w:p>
    <w:p>
      <w:pPr>
        <w:pStyle w:val="Heading3"/>
        <w:spacing w:after="80" w:before="200"/>
      </w:pPr>
      <w:r>
        <w:rPr>
          <w:rFonts w:ascii="Times New Roman" w:cs="Times New Roman" w:eastAsia="Times New Roman" w:hAnsi="Times New Roman"/>
          <w:b/>
          <w:bCs/>
          <w:color w:val="1F2937"/>
          <w:sz w:val="26"/>
          <w:szCs w:val="26"/>
        </w:rPr>
        <w:t xml:space="preserve">1. La règle des couches de coûts</w:t>
      </w:r>
    </w:p>
    <w:p>
      <w:pPr>
        <w:spacing w:after="120"/>
      </w:pPr>
      <w:r>
        <w:rPr>
          <w:rFonts w:ascii="Times New Roman" w:cs="Times New Roman" w:eastAsia="Times New Roman" w:hAnsi="Times New Roman"/>
          <w:b w:val="false"/>
          <w:bCs w:val="false"/>
          <w:color w:val="1F2937"/>
          <w:sz w:val="22"/>
          <w:szCs w:val="22"/>
        </w:rPr>
        <w:t xml:space="preserve">Un revenu passif brut traverse systématiquement plusieurs couches de prélèvements avant d'arriver net dans ta poche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Couche</w:t>
            </w:r>
          </w:p>
        </w:tc>
        <w:tc>
          <w:tcPr>
            <w:shd w:fill="1B3A6B" w:color="1B3A6B" w:val="solid"/>
          </w:tcPr>
          <w:p>
            <w:pPr>
              <w:jc w:val="center"/>
            </w:pPr>
            <w:r>
              <w:rPr>
                <w:rFonts w:ascii="Times New Roman" w:cs="Times New Roman" w:eastAsia="Times New Roman" w:hAnsi="Times New Roman"/>
                <w:b/>
                <w:bCs/>
                <w:color w:val="FFFFFF"/>
                <w:sz w:val="20"/>
                <w:szCs w:val="20"/>
              </w:rPr>
              <w:t xml:space="preserve">Ce qu'elle prend</w:t>
            </w:r>
          </w:p>
        </w:tc>
        <w:tc>
          <w:tcPr>
            <w:shd w:fill="1B3A6B" w:color="1B3A6B" w:val="solid"/>
          </w:tcPr>
          <w:p>
            <w:pPr>
              <w:jc w:val="center"/>
            </w:pPr>
            <w:r>
              <w:rPr>
                <w:rFonts w:ascii="Times New Roman" w:cs="Times New Roman" w:eastAsia="Times New Roman" w:hAnsi="Times New Roman"/>
                <w:b/>
                <w:bCs/>
                <w:color w:val="FFFFFF"/>
                <w:sz w:val="20"/>
                <w:szCs w:val="20"/>
              </w:rPr>
              <w:t xml:space="preserve">Exemple : SCPI à 4,92 % brut (ASPIM 2025)</w:t>
            </w:r>
          </w:p>
        </w:tc>
      </w:tr>
      <w:tr>
        <w:tc>
          <w:tcPr>
            <w:shd w:fill="FFFFFF" w:color="FFFFFF" w:val="solid"/>
          </w:tcPr>
          <w:p>
            <w:r>
              <w:rPr>
                <w:rFonts w:ascii="Times New Roman" w:cs="Times New Roman" w:eastAsia="Times New Roman" w:hAnsi="Times New Roman"/>
                <w:color w:val="1F2937"/>
                <w:sz w:val="20"/>
                <w:szCs w:val="20"/>
              </w:rPr>
              <w:t xml:space="preserve">Frais de souscription</w:t>
            </w:r>
          </w:p>
        </w:tc>
        <w:tc>
          <w:tcPr>
            <w:shd w:fill="FFFFFF" w:color="FFFFFF" w:val="solid"/>
          </w:tcPr>
          <w:p>
            <w:r>
              <w:rPr>
                <w:rFonts w:ascii="Times New Roman" w:cs="Times New Roman" w:eastAsia="Times New Roman" w:hAnsi="Times New Roman"/>
                <w:color w:val="1F2937"/>
                <w:sz w:val="20"/>
                <w:szCs w:val="20"/>
              </w:rPr>
              <w:t xml:space="preserve">5 à 12 % du capital investi (prélevés à l'entrée)</w:t>
            </w:r>
          </w:p>
        </w:tc>
        <w:tc>
          <w:tcPr>
            <w:shd w:fill="FFFFFF" w:color="FFFFFF" w:val="solid"/>
          </w:tcPr>
          <w:p>
            <w:r>
              <w:rPr>
                <w:rFonts w:ascii="Times New Roman" w:cs="Times New Roman" w:eastAsia="Times New Roman" w:hAnsi="Times New Roman"/>
                <w:color w:val="1F2937"/>
                <w:sz w:val="20"/>
                <w:szCs w:val="20"/>
              </w:rPr>
              <w:t xml:space="preserve">−8 % à l'achat → capital utile réduit</w:t>
            </w:r>
          </w:p>
        </w:tc>
      </w:tr>
      <w:tr>
        <w:tc>
          <w:tcPr>
            <w:shd w:fill="EEF2F7" w:color="EEF2F7" w:val="solid"/>
          </w:tcPr>
          <w:p>
            <w:r>
              <w:rPr>
                <w:rFonts w:ascii="Times New Roman" w:cs="Times New Roman" w:eastAsia="Times New Roman" w:hAnsi="Times New Roman"/>
                <w:color w:val="1F2937"/>
                <w:sz w:val="20"/>
                <w:szCs w:val="20"/>
              </w:rPr>
              <w:t xml:space="preserve">Frais de gestion annuels</w:t>
            </w:r>
          </w:p>
        </w:tc>
        <w:tc>
          <w:tcPr>
            <w:shd w:fill="EEF2F7" w:color="EEF2F7" w:val="solid"/>
          </w:tcPr>
          <w:p>
            <w:r>
              <w:rPr>
                <w:rFonts w:ascii="Times New Roman" w:cs="Times New Roman" w:eastAsia="Times New Roman" w:hAnsi="Times New Roman"/>
                <w:color w:val="1F2937"/>
                <w:sz w:val="20"/>
                <w:szCs w:val="20"/>
              </w:rPr>
              <w:t xml:space="preserve">8 à 12 % des loyers perçus</w:t>
            </w:r>
          </w:p>
        </w:tc>
        <w:tc>
          <w:tcPr>
            <w:shd w:fill="EEF2F7" w:color="EEF2F7" w:val="solid"/>
          </w:tcPr>
          <w:p>
            <w:r>
              <w:rPr>
                <w:rFonts w:ascii="Times New Roman" w:cs="Times New Roman" w:eastAsia="Times New Roman" w:hAnsi="Times New Roman"/>
                <w:color w:val="1F2937"/>
                <w:sz w:val="20"/>
                <w:szCs w:val="20"/>
              </w:rPr>
              <w:t xml:space="preserve">−1 % de rendement brut environ</w:t>
            </w:r>
          </w:p>
        </w:tc>
      </w:tr>
      <w:tr>
        <w:tc>
          <w:tcPr>
            <w:shd w:fill="FFFFFF" w:color="FFFFFF" w:val="solid"/>
          </w:tcPr>
          <w:p>
            <w:r>
              <w:rPr>
                <w:rFonts w:ascii="Times New Roman" w:cs="Times New Roman" w:eastAsia="Times New Roman" w:hAnsi="Times New Roman"/>
                <w:color w:val="1F2937"/>
                <w:sz w:val="20"/>
                <w:szCs w:val="20"/>
              </w:rPr>
              <w:t xml:space="preserve">Prélèvements sociaux</w:t>
            </w:r>
          </w:p>
        </w:tc>
        <w:tc>
          <w:tcPr>
            <w:shd w:fill="FFFFFF" w:color="FFFFFF" w:val="solid"/>
          </w:tcPr>
          <w:p>
            <w:r>
              <w:rPr>
                <w:rFonts w:ascii="Times New Roman" w:cs="Times New Roman" w:eastAsia="Times New Roman" w:hAnsi="Times New Roman"/>
                <w:color w:val="1F2937"/>
                <w:sz w:val="20"/>
                <w:szCs w:val="20"/>
              </w:rPr>
              <w:t xml:space="preserve">17,2 % sur les revenus fonciers (taux 2026)</w:t>
            </w:r>
          </w:p>
        </w:tc>
        <w:tc>
          <w:tcPr>
            <w:shd w:fill="FFFFFF" w:color="FFFFFF" w:val="solid"/>
          </w:tcPr>
          <w:p>
            <w:r>
              <w:rPr>
                <w:rFonts w:ascii="Times New Roman" w:cs="Times New Roman" w:eastAsia="Times New Roman" w:hAnsi="Times New Roman"/>
                <w:color w:val="1F2937"/>
                <w:sz w:val="20"/>
                <w:szCs w:val="20"/>
              </w:rPr>
              <w:t xml:space="preserve">−0,84 pt de rendement</w:t>
            </w:r>
          </w:p>
        </w:tc>
      </w:tr>
      <w:tr>
        <w:tc>
          <w:tcPr>
            <w:shd w:fill="EEF2F7" w:color="EEF2F7" w:val="solid"/>
          </w:tcPr>
          <w:p>
            <w:r>
              <w:rPr>
                <w:rFonts w:ascii="Times New Roman" w:cs="Times New Roman" w:eastAsia="Times New Roman" w:hAnsi="Times New Roman"/>
                <w:color w:val="1F2937"/>
                <w:sz w:val="20"/>
                <w:szCs w:val="20"/>
              </w:rPr>
              <w:t xml:space="preserve">Impôt sur le revenu</w:t>
            </w:r>
          </w:p>
        </w:tc>
        <w:tc>
          <w:tcPr>
            <w:shd w:fill="EEF2F7" w:color="EEF2F7" w:val="solid"/>
          </w:tcPr>
          <w:p>
            <w:r>
              <w:rPr>
                <w:rFonts w:ascii="Times New Roman" w:cs="Times New Roman" w:eastAsia="Times New Roman" w:hAnsi="Times New Roman"/>
                <w:color w:val="1F2937"/>
                <w:sz w:val="20"/>
                <w:szCs w:val="20"/>
              </w:rPr>
              <w:t xml:space="preserve">Barème progressif (11 %, 30 %, 41 %…)</w:t>
            </w:r>
          </w:p>
        </w:tc>
        <w:tc>
          <w:tcPr>
            <w:shd w:fill="EEF2F7" w:color="EEF2F7" w:val="solid"/>
          </w:tcPr>
          <w:p>
            <w:r>
              <w:rPr>
                <w:rFonts w:ascii="Times New Roman" w:cs="Times New Roman" w:eastAsia="Times New Roman" w:hAnsi="Times New Roman"/>
                <w:color w:val="1F2937"/>
                <w:sz w:val="20"/>
                <w:szCs w:val="20"/>
              </w:rPr>
              <w:t xml:space="preserve">Variable selon la tranche</w:t>
            </w:r>
          </w:p>
        </w:tc>
      </w:tr>
      <w:tr>
        <w:tc>
          <w:tcPr>
            <w:shd w:fill="FFFFFF" w:color="FFFFFF" w:val="solid"/>
          </w:tcPr>
          <w:p>
            <w:r>
              <w:rPr>
                <w:rFonts w:ascii="Times New Roman" w:cs="Times New Roman" w:eastAsia="Times New Roman" w:hAnsi="Times New Roman"/>
                <w:color w:val="1F2937"/>
                <w:sz w:val="20"/>
                <w:szCs w:val="20"/>
              </w:rPr>
              <w:t xml:space="preserve">Inflation</w:t>
            </w:r>
          </w:p>
        </w:tc>
        <w:tc>
          <w:tcPr>
            <w:shd w:fill="FFFFFF" w:color="FFFFFF" w:val="solid"/>
          </w:tcPr>
          <w:p>
            <w:r>
              <w:rPr>
                <w:rFonts w:ascii="Times New Roman" w:cs="Times New Roman" w:eastAsia="Times New Roman" w:hAnsi="Times New Roman"/>
                <w:color w:val="1F2937"/>
                <w:sz w:val="20"/>
                <w:szCs w:val="20"/>
              </w:rPr>
              <w:t xml:space="preserve">Érosion du pouvoir d'achat du capital</w:t>
            </w:r>
          </w:p>
        </w:tc>
        <w:tc>
          <w:tcPr>
            <w:shd w:fill="FFFFFF" w:color="FFFFFF" w:val="solid"/>
          </w:tcPr>
          <w:p>
            <w:r>
              <w:rPr>
                <w:rFonts w:ascii="Times New Roman" w:cs="Times New Roman" w:eastAsia="Times New Roman" w:hAnsi="Times New Roman"/>
                <w:color w:val="1F2937"/>
                <w:sz w:val="20"/>
                <w:szCs w:val="20"/>
              </w:rPr>
              <w:t xml:space="preserve">Non visible, non chiffrée dans les plaquettes</w:t>
            </w:r>
          </w:p>
        </w:tc>
      </w:tr>
    </w:tbl>
    <w:p>
      <w:pPr>
        <w:spacing w:after="120"/>
      </w:pPr>
    </w:p>
    <w:p>
      <w:pPr>
        <w:spacing w:after="120"/>
      </w:pPr>
      <w:r>
        <w:rPr>
          <w:rFonts w:ascii="Times New Roman" w:cs="Times New Roman" w:eastAsia="Times New Roman" w:hAnsi="Times New Roman"/>
          <w:b w:val="false"/>
          <w:bCs w:val="false"/>
          <w:color w:val="1F2937"/>
          <w:sz w:val="22"/>
          <w:szCs w:val="22"/>
        </w:rPr>
        <w:t xml:space="preserve">Le taux de distribution SCPI 2025 (source : ASPIM, communiqué Q1 2026) est de 4,92 % brut. Après frais de gestion (~1 %), prélèvements sociaux (17,2 % sur les revenus fonciers en 2026 — voir section fiscalité), et impôt sur le revenu à 30 % par exemple, le rendement net tombe autour de 2 % à 2,5 %. Ce n'est pas nul — mais c'est très différent du 4,92 % affiché.</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2. La fiscalité française des revenus passifs en 2026</w:t>
      </w:r>
    </w:p>
    <w:p>
      <w:pPr>
        <w:spacing w:after="120"/>
      </w:pPr>
      <w:r>
        <w:rPr>
          <w:rFonts w:ascii="Times New Roman" w:cs="Times New Roman" w:eastAsia="Times New Roman" w:hAnsi="Times New Roman"/>
          <w:b w:val="false"/>
          <w:bCs w:val="false"/>
          <w:color w:val="1F2937"/>
          <w:sz w:val="22"/>
          <w:szCs w:val="22"/>
        </w:rPr>
        <w:t xml:space="preserve">Les revenus passifs ne sont pas tous taxés de la même façon. Il existe deux grands régimes, plus des cas particuliers.</w:t>
      </w:r>
    </w:p>
    <w:p>
      <w:pPr>
        <w:spacing w:after="120"/>
      </w:pPr>
    </w:p>
    <w:p>
      <w:pPr>
        <w:spacing w:after="120"/>
      </w:pPr>
      <w:r>
        <w:rPr>
          <w:rFonts w:ascii="Times New Roman" w:cs="Times New Roman" w:eastAsia="Times New Roman" w:hAnsi="Times New Roman"/>
          <w:b/>
          <w:bCs/>
          <w:color w:val="1F2937"/>
          <w:sz w:val="22"/>
          <w:szCs w:val="22"/>
        </w:rPr>
        <w:t xml:space="preserve">A. Revenus de placements financiers (dividendes, intérêts, plus-values mobilières)</w:t>
      </w:r>
    </w:p>
    <w:p>
      <w:pPr>
        <w:spacing w:after="120"/>
      </w:pPr>
      <w:r>
        <w:rPr>
          <w:rFonts w:ascii="Times New Roman" w:cs="Times New Roman" w:eastAsia="Times New Roman" w:hAnsi="Times New Roman"/>
          <w:b w:val="false"/>
          <w:bCs w:val="false"/>
          <w:color w:val="1F2937"/>
          <w:sz w:val="22"/>
          <w:szCs w:val="22"/>
        </w:rPr>
        <w:t xml:space="preserve">Source : service-public.gouv.fr, fiche F34913, consultée le 16/08/2026 :</w:t>
      </w:r>
    </w:p>
    <w:p>
      <w:pPr>
        <w:spacing w:after="120"/>
      </w:pPr>
      <w:r>
        <w:rPr>
          <w:rFonts w:ascii="Times New Roman" w:cs="Times New Roman" w:eastAsia="Times New Roman" w:hAnsi="Times New Roman"/>
          <w:b w:val="false"/>
          <w:bCs w:val="false"/>
          <w:color w:val="1F2937"/>
          <w:sz w:val="22"/>
          <w:szCs w:val="22"/>
        </w:rPr>
        <w:t xml:space="preserve">Le Prélèvement Forfaitaire Unique (PFU) est composé de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12,8 % d'impôt sur le revenu</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18,6 % de prélèvements sociaux (taux en vigueur depuis le 1er janvier 2026)</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Soit un taux global de 31,4 %</w:t>
      </w:r>
    </w:p>
    <w:p>
      <w:pPr>
        <w:spacing w:after="120"/>
      </w:pPr>
      <w:r>
        <w:rPr>
          <w:rFonts w:ascii="Times New Roman" w:cs="Times New Roman" w:eastAsia="Times New Roman" w:hAnsi="Times New Roman"/>
          <w:b w:val="false"/>
          <w:bCs w:val="false"/>
          <w:color w:val="1F2937"/>
          <w:sz w:val="22"/>
          <w:szCs w:val="22"/>
        </w:rPr>
        <w:t xml:space="preserve">Option alternative : le barème progressif de l'IR, qui peut être plus favorable si l'on est non imposable ou dans la tranche à 11 %.</w:t>
      </w:r>
    </w:p>
    <w:p>
      <w:pPr>
        <w:spacing w:after="120"/>
      </w:pPr>
    </w:p>
    <w:p>
      <w:pPr>
        <w:spacing w:after="120"/>
      </w:pPr>
      <w:r>
        <w:rPr>
          <w:rFonts w:ascii="Times New Roman" w:cs="Times New Roman" w:eastAsia="Times New Roman" w:hAnsi="Times New Roman"/>
          <w:b/>
          <w:bCs/>
          <w:color w:val="1F2937"/>
          <w:sz w:val="22"/>
          <w:szCs w:val="22"/>
        </w:rPr>
        <w:t xml:space="preserve">B. Prélèvements sociaux — taux par type de produit (2026)</w:t>
      </w:r>
    </w:p>
    <w:p>
      <w:pPr>
        <w:spacing w:after="120"/>
      </w:pPr>
      <w:r>
        <w:rPr>
          <w:rFonts w:ascii="Times New Roman" w:cs="Times New Roman" w:eastAsia="Times New Roman" w:hAnsi="Times New Roman"/>
          <w:b w:val="false"/>
          <w:bCs w:val="false"/>
          <w:color w:val="1F2937"/>
          <w:sz w:val="22"/>
          <w:szCs w:val="22"/>
        </w:rPr>
        <w:t xml:space="preserve">Source : service-public.gouv.fr, fiche F2329 sur les prélèvements sociaux, consultée le 16/08/2026. Deux taux coexistent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Produit</w:t>
            </w:r>
          </w:p>
        </w:tc>
        <w:tc>
          <w:tcPr>
            <w:shd w:fill="1B3A6B" w:color="1B3A6B" w:val="solid"/>
          </w:tcPr>
          <w:p>
            <w:pPr>
              <w:jc w:val="center"/>
            </w:pPr>
            <w:r>
              <w:rPr>
                <w:rFonts w:ascii="Times New Roman" w:cs="Times New Roman" w:eastAsia="Times New Roman" w:hAnsi="Times New Roman"/>
                <w:b/>
                <w:bCs/>
                <w:color w:val="FFFFFF"/>
                <w:sz w:val="20"/>
                <w:szCs w:val="20"/>
              </w:rPr>
              <w:t xml:space="preserve">Taux prélèvements sociaux 2026</w:t>
            </w:r>
          </w:p>
        </w:tc>
        <w:tc>
          <w:tcPr>
            <w:shd w:fill="1B3A6B" w:color="1B3A6B" w:val="solid"/>
          </w:tcPr>
          <w:p>
            <w:pPr>
              <w:jc w:val="center"/>
            </w:pPr>
            <w:r>
              <w:rPr>
                <w:rFonts w:ascii="Times New Roman" w:cs="Times New Roman" w:eastAsia="Times New Roman" w:hAnsi="Times New Roman"/>
                <w:b/>
                <w:bCs/>
                <w:color w:val="FFFFFF"/>
                <w:sz w:val="20"/>
                <w:szCs w:val="20"/>
              </w:rPr>
              <w:t xml:space="preserve">Composition</w:t>
            </w:r>
          </w:p>
        </w:tc>
      </w:tr>
      <w:tr>
        <w:tc>
          <w:tcPr>
            <w:shd w:fill="FFFFFF" w:color="FFFFFF" w:val="solid"/>
          </w:tcPr>
          <w:p>
            <w:r>
              <w:rPr>
                <w:rFonts w:ascii="Times New Roman" w:cs="Times New Roman" w:eastAsia="Times New Roman" w:hAnsi="Times New Roman"/>
                <w:color w:val="1F2937"/>
                <w:sz w:val="20"/>
                <w:szCs w:val="20"/>
              </w:rPr>
              <w:t xml:space="preserve">Dividendes, intérêts (taux général)</w:t>
            </w:r>
          </w:p>
        </w:tc>
        <w:tc>
          <w:tcPr>
            <w:shd w:fill="FFFFFF" w:color="FFFFFF" w:val="solid"/>
          </w:tcPr>
          <w:p>
            <w:r>
              <w:rPr>
                <w:rFonts w:ascii="Times New Roman" w:cs="Times New Roman" w:eastAsia="Times New Roman" w:hAnsi="Times New Roman"/>
                <w:color w:val="1F2937"/>
                <w:sz w:val="20"/>
                <w:szCs w:val="20"/>
              </w:rPr>
              <w:t xml:space="preserve">18,6 %</w:t>
            </w:r>
          </w:p>
        </w:tc>
        <w:tc>
          <w:tcPr>
            <w:shd w:fill="FFFFFF" w:color="FFFFFF" w:val="solid"/>
          </w:tcPr>
          <w:p>
            <w:r>
              <w:rPr>
                <w:rFonts w:ascii="Times New Roman" w:cs="Times New Roman" w:eastAsia="Times New Roman" w:hAnsi="Times New Roman"/>
                <w:color w:val="1F2937"/>
                <w:sz w:val="20"/>
                <w:szCs w:val="20"/>
              </w:rPr>
              <w:t xml:space="preserve">CSG 10,6 % + CRDS 0,5 % + solidarité 7,5 %</w:t>
            </w:r>
          </w:p>
        </w:tc>
      </w:tr>
      <w:tr>
        <w:tc>
          <w:tcPr>
            <w:shd w:fill="EEF2F7" w:color="EEF2F7" w:val="solid"/>
          </w:tcPr>
          <w:p>
            <w:r>
              <w:rPr>
                <w:rFonts w:ascii="Times New Roman" w:cs="Times New Roman" w:eastAsia="Times New Roman" w:hAnsi="Times New Roman"/>
                <w:color w:val="1F2937"/>
                <w:sz w:val="20"/>
                <w:szCs w:val="20"/>
              </w:rPr>
              <w:t xml:space="preserve">Revenus fonciers (loyers)</w:t>
            </w:r>
          </w:p>
        </w:tc>
        <w:tc>
          <w:tcPr>
            <w:shd w:fill="EEF2F7" w:color="EEF2F7" w:val="solid"/>
          </w:tcPr>
          <w:p>
            <w:r>
              <w:rPr>
                <w:rFonts w:ascii="Times New Roman" w:cs="Times New Roman" w:eastAsia="Times New Roman" w:hAnsi="Times New Roman"/>
                <w:color w:val="1F2937"/>
                <w:sz w:val="20"/>
                <w:szCs w:val="20"/>
              </w:rPr>
              <w:t xml:space="preserve">17,2 %</w:t>
            </w:r>
          </w:p>
        </w:tc>
        <w:tc>
          <w:tcPr>
            <w:shd w:fill="EEF2F7" w:color="EEF2F7" w:val="solid"/>
          </w:tcPr>
          <w:p>
            <w:r>
              <w:rPr>
                <w:rFonts w:ascii="Times New Roman" w:cs="Times New Roman" w:eastAsia="Times New Roman" w:hAnsi="Times New Roman"/>
                <w:color w:val="1F2937"/>
                <w:sz w:val="20"/>
                <w:szCs w:val="20"/>
              </w:rPr>
              <w:t xml:space="preserve">CSG 9,2 % + CRDS 0,5 % + solidarité 7,5 %</w:t>
            </w:r>
          </w:p>
        </w:tc>
      </w:tr>
      <w:tr>
        <w:tc>
          <w:tcPr>
            <w:shd w:fill="FFFFFF" w:color="FFFFFF" w:val="solid"/>
          </w:tcPr>
          <w:p>
            <w:r>
              <w:rPr>
                <w:rFonts w:ascii="Times New Roman" w:cs="Times New Roman" w:eastAsia="Times New Roman" w:hAnsi="Times New Roman"/>
                <w:color w:val="1F2937"/>
                <w:sz w:val="20"/>
                <w:szCs w:val="20"/>
              </w:rPr>
              <w:t xml:space="preserve">Plus-values immobilières</w:t>
            </w:r>
          </w:p>
        </w:tc>
        <w:tc>
          <w:tcPr>
            <w:shd w:fill="FFFFFF" w:color="FFFFFF" w:val="solid"/>
          </w:tcPr>
          <w:p>
            <w:r>
              <w:rPr>
                <w:rFonts w:ascii="Times New Roman" w:cs="Times New Roman" w:eastAsia="Times New Roman" w:hAnsi="Times New Roman"/>
                <w:color w:val="1F2937"/>
                <w:sz w:val="20"/>
                <w:szCs w:val="20"/>
              </w:rPr>
              <w:t xml:space="preserve">17,2 %</w:t>
            </w:r>
          </w:p>
        </w:tc>
        <w:tc>
          <w:tcPr>
            <w:shd w:fill="FFFFFF" w:color="FFFFFF" w:val="solid"/>
          </w:tcPr>
          <w:p>
            <w:r>
              <w:rPr>
                <w:rFonts w:ascii="Times New Roman" w:cs="Times New Roman" w:eastAsia="Times New Roman" w:hAnsi="Times New Roman"/>
                <w:color w:val="1F2937"/>
                <w:sz w:val="20"/>
                <w:szCs w:val="20"/>
              </w:rPr>
              <w:t xml:space="preserve">Idem</w:t>
            </w:r>
          </w:p>
        </w:tc>
      </w:tr>
      <w:tr>
        <w:tc>
          <w:tcPr>
            <w:shd w:fill="EEF2F7" w:color="EEF2F7" w:val="solid"/>
          </w:tcPr>
          <w:p>
            <w:r>
              <w:rPr>
                <w:rFonts w:ascii="Times New Roman" w:cs="Times New Roman" w:eastAsia="Times New Roman" w:hAnsi="Times New Roman"/>
                <w:color w:val="1F2937"/>
                <w:sz w:val="20"/>
                <w:szCs w:val="20"/>
              </w:rPr>
              <w:t xml:space="preserve">Assurance-vie, contrats de capitalisation</w:t>
            </w:r>
          </w:p>
        </w:tc>
        <w:tc>
          <w:tcPr>
            <w:shd w:fill="EEF2F7" w:color="EEF2F7" w:val="solid"/>
          </w:tcPr>
          <w:p>
            <w:r>
              <w:rPr>
                <w:rFonts w:ascii="Times New Roman" w:cs="Times New Roman" w:eastAsia="Times New Roman" w:hAnsi="Times New Roman"/>
                <w:color w:val="1F2937"/>
                <w:sz w:val="20"/>
                <w:szCs w:val="20"/>
              </w:rPr>
              <w:t xml:space="preserve">17,2 %</w:t>
            </w:r>
          </w:p>
        </w:tc>
        <w:tc>
          <w:tcPr>
            <w:shd w:fill="EEF2F7" w:color="EEF2F7" w:val="solid"/>
          </w:tcPr>
          <w:p>
            <w:r>
              <w:rPr>
                <w:rFonts w:ascii="Times New Roman" w:cs="Times New Roman" w:eastAsia="Times New Roman" w:hAnsi="Times New Roman"/>
                <w:color w:val="1F2937"/>
                <w:sz w:val="20"/>
                <w:szCs w:val="20"/>
              </w:rPr>
              <w:t xml:space="preserve">Idem</w:t>
            </w:r>
          </w:p>
        </w:tc>
      </w:tr>
      <w:tr>
        <w:tc>
          <w:tcPr>
            <w:shd w:fill="FFFFFF" w:color="FFFFFF" w:val="solid"/>
          </w:tcPr>
          <w:p>
            <w:r>
              <w:rPr>
                <w:rFonts w:ascii="Times New Roman" w:cs="Times New Roman" w:eastAsia="Times New Roman" w:hAnsi="Times New Roman"/>
                <w:color w:val="1F2937"/>
                <w:sz w:val="20"/>
                <w:szCs w:val="20"/>
              </w:rPr>
              <w:t xml:space="preserve">PEL, CEL (ouverts avant 2018), PEP</w:t>
            </w:r>
          </w:p>
        </w:tc>
        <w:tc>
          <w:tcPr>
            <w:shd w:fill="FFFFFF" w:color="FFFFFF" w:val="solid"/>
          </w:tcPr>
          <w:p>
            <w:r>
              <w:rPr>
                <w:rFonts w:ascii="Times New Roman" w:cs="Times New Roman" w:eastAsia="Times New Roman" w:hAnsi="Times New Roman"/>
                <w:color w:val="1F2937"/>
                <w:sz w:val="20"/>
                <w:szCs w:val="20"/>
              </w:rPr>
              <w:t xml:space="preserve">17,2 %</w:t>
            </w:r>
          </w:p>
        </w:tc>
        <w:tc>
          <w:tcPr>
            <w:shd w:fill="FFFFFF" w:color="FFFFFF" w:val="solid"/>
          </w:tcPr>
          <w:p>
            <w:r>
              <w:rPr>
                <w:rFonts w:ascii="Times New Roman" w:cs="Times New Roman" w:eastAsia="Times New Roman" w:hAnsi="Times New Roman"/>
                <w:color w:val="1F2937"/>
                <w:sz w:val="20"/>
                <w:szCs w:val="20"/>
              </w:rPr>
              <w:t xml:space="preserve">Idem</w:t>
            </w:r>
          </w:p>
        </w:tc>
      </w:tr>
      <w:tr>
        <w:tc>
          <w:tcPr>
            <w:shd w:fill="EEF2F7" w:color="EEF2F7" w:val="solid"/>
          </w:tcPr>
          <w:p>
            <w:r>
              <w:rPr>
                <w:rFonts w:ascii="Times New Roman" w:cs="Times New Roman" w:eastAsia="Times New Roman" w:hAnsi="Times New Roman"/>
                <w:color w:val="1F2937"/>
                <w:sz w:val="20"/>
                <w:szCs w:val="20"/>
              </w:rPr>
              <w:t xml:space="preserve">Livret A, LDDS, LEP, Livret Jeune, PEAC</w:t>
            </w:r>
          </w:p>
        </w:tc>
        <w:tc>
          <w:tcPr>
            <w:shd w:fill="EEF2F7" w:color="EEF2F7" w:val="solid"/>
          </w:tcPr>
          <w:p>
            <w:r>
              <w:rPr>
                <w:rFonts w:ascii="Times New Roman" w:cs="Times New Roman" w:eastAsia="Times New Roman" w:hAnsi="Times New Roman"/>
                <w:color w:val="1F2937"/>
                <w:sz w:val="20"/>
                <w:szCs w:val="20"/>
              </w:rPr>
              <w:t xml:space="preserve">0 %</w:t>
            </w:r>
          </w:p>
        </w:tc>
        <w:tc>
          <w:tcPr>
            <w:shd w:fill="EEF2F7" w:color="EEF2F7" w:val="solid"/>
          </w:tcPr>
          <w:p>
            <w:r>
              <w:rPr>
                <w:rFonts w:ascii="Times New Roman" w:cs="Times New Roman" w:eastAsia="Times New Roman" w:hAnsi="Times New Roman"/>
                <w:color w:val="1F2937"/>
                <w:sz w:val="20"/>
                <w:szCs w:val="20"/>
              </w:rPr>
              <w:t xml:space="preserve">Exonérés de prélèvements sociaux</w:t>
            </w:r>
          </w:p>
        </w:tc>
      </w:tr>
    </w:tbl>
    <w:p>
      <w:pPr>
        <w:spacing w:after="120"/>
      </w:pP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PIÈGE : La hausse des prélèvements sociaux de 17,2 % à 18,6 % au 01/01/2026 ne s'applique PAS à tous les produits. L'assurance-vie, les revenus fonciers, les PEL/CEL et le PEP conservent 17,2 %. Appliquer 18,6 % à l'assurance-vie est une erreur fréquente — et qui change le calcul réel.</w:t>
      </w:r>
    </w:p>
    <w:p>
      <w:pPr>
        <w:spacing w:after="120"/>
      </w:pPr>
    </w:p>
    <w:p>
      <w:pPr>
        <w:spacing w:after="120"/>
      </w:pPr>
      <w:r>
        <w:rPr>
          <w:rFonts w:ascii="Times New Roman" w:cs="Times New Roman" w:eastAsia="Times New Roman" w:hAnsi="Times New Roman"/>
          <w:b/>
          <w:bCs/>
          <w:color w:val="1F2937"/>
          <w:sz w:val="22"/>
          <w:szCs w:val="22"/>
        </w:rPr>
        <w:t xml:space="preserve">C. Revenus fonciers (loyers)</w:t>
      </w:r>
    </w:p>
    <w:p>
      <w:pPr>
        <w:spacing w:after="120"/>
      </w:pPr>
      <w:r>
        <w:rPr>
          <w:rFonts w:ascii="Times New Roman" w:cs="Times New Roman" w:eastAsia="Times New Roman" w:hAnsi="Times New Roman"/>
          <w:b w:val="false"/>
          <w:bCs w:val="false"/>
          <w:color w:val="1F2937"/>
          <w:sz w:val="22"/>
          <w:szCs w:val="22"/>
        </w:rPr>
        <w:t xml:space="preserve">Source : service-public.gouv.fr, fiche F1991, consultée le 16/08/2026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Micro-foncier (revenus &lt; 15 000 €/an) : abattement forfaitaire de 30 % sur les loyers bruts. Seuls 70 % des loyers sont imposés, au barème progressif de l'IR + 17,2 % de prélèvements sociaux.</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Régime réel (revenus ≥ 15 000 € ou option volontaire) : déduction des charges réelles (intérêts d'emprunt, travaux, assurances, frais de gestion, taxe foncière…)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Déficit foncier : jusqu'à 10 700 € imputables sur le revenu global par an ; excédent reportable 6 ans sur les revenus fonciers.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Déficit lié aux travaux de rénovation énergétique : plafond relevé à 21 400 € jusqu'au 31/12/2027.</w:t>
      </w:r>
    </w:p>
    <w:p>
      <w:pPr>
        <w:spacing w:after="120"/>
      </w:pPr>
    </w:p>
    <w:p>
      <w:pPr>
        <w:spacing w:after="120"/>
      </w:pPr>
      <w:r>
        <w:rPr>
          <w:rFonts w:ascii="Times New Roman" w:cs="Times New Roman" w:eastAsia="Times New Roman" w:hAnsi="Times New Roman"/>
          <w:b/>
          <w:bCs/>
          <w:color w:val="1F2937"/>
          <w:sz w:val="22"/>
          <w:szCs w:val="22"/>
        </w:rPr>
        <w:t xml:space="preserve">D. Micro-entrepreneur (revenus d'activité à l'origine d'un flux passif)</w:t>
      </w:r>
    </w:p>
    <w:p>
      <w:pPr>
        <w:spacing w:after="120"/>
      </w:pPr>
      <w:r>
        <w:rPr>
          <w:rFonts w:ascii="Times New Roman" w:cs="Times New Roman" w:eastAsia="Times New Roman" w:hAnsi="Times New Roman"/>
          <w:b w:val="false"/>
          <w:bCs w:val="false"/>
          <w:color w:val="1F2937"/>
          <w:sz w:val="22"/>
          <w:szCs w:val="22"/>
        </w:rPr>
        <w:t xml:space="preserve">Les modèles numériques (ebook, formation en ligne, affiliation) impliquent souvent un statut de micro-entrepreneur. Cotisations sociales 2026 (source : autoentrepreneur.urssaf.fr — ⛔ site inaccessible lors de cette exécution ; données issues d'un résultat de recherche sur urssaf.fr, à vérifier directement sur autoentrepreneur.urssaf.fr)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Vente de marchandises (BIC) : 21,2 % du chiffre d'affaires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Prestation de services commerciaux ou artisanaux (BIC) : taux modifié au 1er janvier 2026 — « Autre prestation de services » à 25,6 % selon le communiqué urssaf.fr</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Professions libérales (BNC) : se référer directement à autoentrepreneur.urssaf.fr pour le taux 2026 exact</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 RAPPEL : les taux de cotisations sociales du micro-entrepreneur portent sur le CHIFFRE D'AFFAIRES, pas sur le bénéfice. Si tu vends un ebook 10 €, tu paies des cotisations sur ces 10 €, que tu aies ou non dépensé 8 € pour le produire. Ce mécanisme pénalise les modèles à faible marge.</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Seuils de CA du micro-entrepreneur : modifiés en 2026. Consulte autoentrepreneur.urssaf.fr — site inaccessible lors de cette exécution.</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3. Les coûts cachés par famille de modèles</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Modèle</w:t>
            </w:r>
          </w:p>
        </w:tc>
        <w:tc>
          <w:tcPr>
            <w:shd w:fill="1B3A6B" w:color="1B3A6B" w:val="solid"/>
          </w:tcPr>
          <w:p>
            <w:pPr>
              <w:jc w:val="center"/>
            </w:pPr>
            <w:r>
              <w:rPr>
                <w:rFonts w:ascii="Times New Roman" w:cs="Times New Roman" w:eastAsia="Times New Roman" w:hAnsi="Times New Roman"/>
                <w:b/>
                <w:bCs/>
                <w:color w:val="FFFFFF"/>
                <w:sz w:val="20"/>
                <w:szCs w:val="20"/>
              </w:rPr>
              <w:t xml:space="preserve">Coût visible</w:t>
            </w:r>
          </w:p>
        </w:tc>
        <w:tc>
          <w:tcPr>
            <w:shd w:fill="1B3A6B" w:color="1B3A6B" w:val="solid"/>
          </w:tcPr>
          <w:p>
            <w:pPr>
              <w:jc w:val="center"/>
            </w:pPr>
            <w:r>
              <w:rPr>
                <w:rFonts w:ascii="Times New Roman" w:cs="Times New Roman" w:eastAsia="Times New Roman" w:hAnsi="Times New Roman"/>
                <w:b/>
                <w:bCs/>
                <w:color w:val="FFFFFF"/>
                <w:sz w:val="20"/>
                <w:szCs w:val="20"/>
              </w:rPr>
              <w:t xml:space="preserve">Coûts cachés fréquents</w:t>
            </w:r>
          </w:p>
        </w:tc>
        <w:tc>
          <w:tcPr>
            <w:shd w:fill="1B3A6B" w:color="1B3A6B" w:val="solid"/>
          </w:tcPr>
          <w:p>
            <w:pPr>
              <w:jc w:val="center"/>
            </w:pPr>
            <w:r>
              <w:rPr>
                <w:rFonts w:ascii="Times New Roman" w:cs="Times New Roman" w:eastAsia="Times New Roman" w:hAnsi="Times New Roman"/>
                <w:b/>
                <w:bCs/>
                <w:color w:val="FFFFFF"/>
                <w:sz w:val="20"/>
                <w:szCs w:val="20"/>
              </w:rPr>
              <w:t xml:space="preserve">Maintenance réelle</w:t>
            </w:r>
          </w:p>
        </w:tc>
      </w:tr>
      <w:tr>
        <w:tc>
          <w:tcPr>
            <w:shd w:fill="FFFFFF" w:color="FFFFFF" w:val="solid"/>
          </w:tcPr>
          <w:p>
            <w:r>
              <w:rPr>
                <w:rFonts w:ascii="Times New Roman" w:cs="Times New Roman" w:eastAsia="Times New Roman" w:hAnsi="Times New Roman"/>
                <w:color w:val="1F2937"/>
                <w:sz w:val="20"/>
                <w:szCs w:val="20"/>
              </w:rPr>
              <w:t xml:space="preserve">SCPI / Pierre-papier</w:t>
            </w:r>
          </w:p>
        </w:tc>
        <w:tc>
          <w:tcPr>
            <w:shd w:fill="FFFFFF" w:color="FFFFFF" w:val="solid"/>
          </w:tcPr>
          <w:p>
            <w:r>
              <w:rPr>
                <w:rFonts w:ascii="Times New Roman" w:cs="Times New Roman" w:eastAsia="Times New Roman" w:hAnsi="Times New Roman"/>
                <w:color w:val="1F2937"/>
                <w:sz w:val="20"/>
                <w:szCs w:val="20"/>
              </w:rPr>
              <w:t xml:space="preserve">Frais de souscription 5–12 %</w:t>
            </w:r>
          </w:p>
        </w:tc>
        <w:tc>
          <w:tcPr>
            <w:shd w:fill="FFFFFF" w:color="FFFFFF" w:val="solid"/>
          </w:tcPr>
          <w:p>
            <w:r>
              <w:rPr>
                <w:rFonts w:ascii="Times New Roman" w:cs="Times New Roman" w:eastAsia="Times New Roman" w:hAnsi="Times New Roman"/>
                <w:color w:val="1F2937"/>
                <w:sz w:val="20"/>
                <w:szCs w:val="20"/>
              </w:rPr>
              <w:t xml:space="preserve">Fiscalité IR + 17,2 % PS, variation valeur parts</w:t>
            </w:r>
          </w:p>
        </w:tc>
        <w:tc>
          <w:tcPr>
            <w:shd w:fill="FFFFFF" w:color="FFFFFF" w:val="solid"/>
          </w:tcPr>
          <w:p>
            <w:r>
              <w:rPr>
                <w:rFonts w:ascii="Times New Roman" w:cs="Times New Roman" w:eastAsia="Times New Roman" w:hAnsi="Times New Roman"/>
                <w:color w:val="1F2937"/>
                <w:sz w:val="20"/>
                <w:szCs w:val="20"/>
              </w:rPr>
              <w:t xml:space="preserve">Faible (délégué à la société de gestion)</w:t>
            </w:r>
          </w:p>
        </w:tc>
      </w:tr>
      <w:tr>
        <w:tc>
          <w:tcPr>
            <w:shd w:fill="EEF2F7" w:color="EEF2F7" w:val="solid"/>
          </w:tcPr>
          <w:p>
            <w:r>
              <w:rPr>
                <w:rFonts w:ascii="Times New Roman" w:cs="Times New Roman" w:eastAsia="Times New Roman" w:hAnsi="Times New Roman"/>
                <w:color w:val="1F2937"/>
                <w:sz w:val="20"/>
                <w:szCs w:val="20"/>
              </w:rPr>
              <w:t xml:space="preserve">Immobilier locatif</w:t>
            </w:r>
          </w:p>
        </w:tc>
        <w:tc>
          <w:tcPr>
            <w:shd w:fill="EEF2F7" w:color="EEF2F7" w:val="solid"/>
          </w:tcPr>
          <w:p>
            <w:r>
              <w:rPr>
                <w:rFonts w:ascii="Times New Roman" w:cs="Times New Roman" w:eastAsia="Times New Roman" w:hAnsi="Times New Roman"/>
                <w:color w:val="1F2937"/>
                <w:sz w:val="20"/>
                <w:szCs w:val="20"/>
              </w:rPr>
              <w:t xml:space="preserve">Frais notaire 7–8 %, travaux</w:t>
            </w:r>
          </w:p>
        </w:tc>
        <w:tc>
          <w:tcPr>
            <w:shd w:fill="EEF2F7" w:color="EEF2F7" w:val="solid"/>
          </w:tcPr>
          <w:p>
            <w:r>
              <w:rPr>
                <w:rFonts w:ascii="Times New Roman" w:cs="Times New Roman" w:eastAsia="Times New Roman" w:hAnsi="Times New Roman"/>
                <w:color w:val="1F2937"/>
                <w:sz w:val="20"/>
                <w:szCs w:val="20"/>
              </w:rPr>
              <w:t xml:space="preserve">Vacance locative, impayés, entretien, taxe foncière, copropriété</w:t>
            </w:r>
          </w:p>
        </w:tc>
        <w:tc>
          <w:tcPr>
            <w:shd w:fill="EEF2F7" w:color="EEF2F7" w:val="solid"/>
          </w:tcPr>
          <w:p>
            <w:r>
              <w:rPr>
                <w:rFonts w:ascii="Times New Roman" w:cs="Times New Roman" w:eastAsia="Times New Roman" w:hAnsi="Times New Roman"/>
                <w:color w:val="1F2937"/>
                <w:sz w:val="20"/>
                <w:szCs w:val="20"/>
              </w:rPr>
              <w:t xml:space="preserve">Élevée : urgences, gestion locataire</w:t>
            </w:r>
          </w:p>
        </w:tc>
      </w:tr>
      <w:tr>
        <w:tc>
          <w:tcPr>
            <w:shd w:fill="FFFFFF" w:color="FFFFFF" w:val="solid"/>
          </w:tcPr>
          <w:p>
            <w:r>
              <w:rPr>
                <w:rFonts w:ascii="Times New Roman" w:cs="Times New Roman" w:eastAsia="Times New Roman" w:hAnsi="Times New Roman"/>
                <w:color w:val="1F2937"/>
                <w:sz w:val="20"/>
                <w:szCs w:val="20"/>
              </w:rPr>
              <w:t xml:space="preserve">Produits numériques (ebook, formation)</w:t>
            </w:r>
          </w:p>
        </w:tc>
        <w:tc>
          <w:tcPr>
            <w:shd w:fill="FFFFFF" w:color="FFFFFF" w:val="solid"/>
          </w:tcPr>
          <w:p>
            <w:r>
              <w:rPr>
                <w:rFonts w:ascii="Times New Roman" w:cs="Times New Roman" w:eastAsia="Times New Roman" w:hAnsi="Times New Roman"/>
                <w:color w:val="1F2937"/>
                <w:sz w:val="20"/>
                <w:szCs w:val="20"/>
              </w:rPr>
              <w:t xml:space="preserve">Plateforme, temps de création</w:t>
            </w:r>
          </w:p>
        </w:tc>
        <w:tc>
          <w:tcPr>
            <w:shd w:fill="FFFFFF" w:color="FFFFFF" w:val="solid"/>
          </w:tcPr>
          <w:p>
            <w:r>
              <w:rPr>
                <w:rFonts w:ascii="Times New Roman" w:cs="Times New Roman" w:eastAsia="Times New Roman" w:hAnsi="Times New Roman"/>
                <w:color w:val="1F2937"/>
                <w:sz w:val="20"/>
                <w:szCs w:val="20"/>
              </w:rPr>
              <w:t xml:space="preserve">SEO, pub pour générer trafic, mises à jour, SAV</w:t>
            </w:r>
          </w:p>
        </w:tc>
        <w:tc>
          <w:tcPr>
            <w:shd w:fill="FFFFFF" w:color="FFFFFF" w:val="solid"/>
          </w:tcPr>
          <w:p>
            <w:r>
              <w:rPr>
                <w:rFonts w:ascii="Times New Roman" w:cs="Times New Roman" w:eastAsia="Times New Roman" w:hAnsi="Times New Roman"/>
                <w:color w:val="1F2937"/>
                <w:sz w:val="20"/>
                <w:szCs w:val="20"/>
              </w:rPr>
              <w:t xml:space="preserve">Moyenne : contenu vieillit, concurrence augmente</w:t>
            </w:r>
          </w:p>
        </w:tc>
      </w:tr>
      <w:tr>
        <w:tc>
          <w:tcPr>
            <w:shd w:fill="EEF2F7" w:color="EEF2F7" w:val="solid"/>
          </w:tcPr>
          <w:p>
            <w:r>
              <w:rPr>
                <w:rFonts w:ascii="Times New Roman" w:cs="Times New Roman" w:eastAsia="Times New Roman" w:hAnsi="Times New Roman"/>
                <w:color w:val="1F2937"/>
                <w:sz w:val="20"/>
                <w:szCs w:val="20"/>
              </w:rPr>
              <w:t xml:space="preserve">Dividendes / ETF</w:t>
            </w:r>
          </w:p>
        </w:tc>
        <w:tc>
          <w:tcPr>
            <w:shd w:fill="EEF2F7" w:color="EEF2F7" w:val="solid"/>
          </w:tcPr>
          <w:p>
            <w:r>
              <w:rPr>
                <w:rFonts w:ascii="Times New Roman" w:cs="Times New Roman" w:eastAsia="Times New Roman" w:hAnsi="Times New Roman"/>
                <w:color w:val="1F2937"/>
                <w:sz w:val="20"/>
                <w:szCs w:val="20"/>
              </w:rPr>
              <w:t xml:space="preserve">Courtier, spread</w:t>
            </w:r>
          </w:p>
        </w:tc>
        <w:tc>
          <w:tcPr>
            <w:shd w:fill="EEF2F7" w:color="EEF2F7" w:val="solid"/>
          </w:tcPr>
          <w:p>
            <w:r>
              <w:rPr>
                <w:rFonts w:ascii="Times New Roman" w:cs="Times New Roman" w:eastAsia="Times New Roman" w:hAnsi="Times New Roman"/>
                <w:color w:val="1F2937"/>
                <w:sz w:val="20"/>
                <w:szCs w:val="20"/>
              </w:rPr>
              <w:t xml:space="preserve">31,4 % PFU sur dividendes, volatilité du capital</w:t>
            </w:r>
          </w:p>
        </w:tc>
        <w:tc>
          <w:tcPr>
            <w:shd w:fill="EEF2F7" w:color="EEF2F7" w:val="solid"/>
          </w:tcPr>
          <w:p>
            <w:r>
              <w:rPr>
                <w:rFonts w:ascii="Times New Roman" w:cs="Times New Roman" w:eastAsia="Times New Roman" w:hAnsi="Times New Roman"/>
                <w:color w:val="1F2937"/>
                <w:sz w:val="20"/>
                <w:szCs w:val="20"/>
              </w:rPr>
              <w:t xml:space="preserve">Faible : rééquilibrage occasionnel</w:t>
            </w:r>
          </w:p>
        </w:tc>
      </w:tr>
      <w:tr>
        <w:tc>
          <w:tcPr>
            <w:shd w:fill="FFFFFF" w:color="FFFFFF" w:val="solid"/>
          </w:tcPr>
          <w:p>
            <w:r>
              <w:rPr>
                <w:rFonts w:ascii="Times New Roman" w:cs="Times New Roman" w:eastAsia="Times New Roman" w:hAnsi="Times New Roman"/>
                <w:color w:val="1F2937"/>
                <w:sz w:val="20"/>
                <w:szCs w:val="20"/>
              </w:rPr>
              <w:t xml:space="preserve">Affiliation</w:t>
            </w:r>
          </w:p>
        </w:tc>
        <w:tc>
          <w:tcPr>
            <w:shd w:fill="FFFFFF" w:color="FFFFFF" w:val="solid"/>
          </w:tcPr>
          <w:p>
            <w:r>
              <w:rPr>
                <w:rFonts w:ascii="Times New Roman" w:cs="Times New Roman" w:eastAsia="Times New Roman" w:hAnsi="Times New Roman"/>
                <w:color w:val="1F2937"/>
                <w:sz w:val="20"/>
                <w:szCs w:val="20"/>
              </w:rPr>
              <w:t xml:space="preserve">Temps de création de contenu</w:t>
            </w:r>
          </w:p>
        </w:tc>
        <w:tc>
          <w:tcPr>
            <w:shd w:fill="FFFFFF" w:color="FFFFFF" w:val="solid"/>
          </w:tcPr>
          <w:p>
            <w:r>
              <w:rPr>
                <w:rFonts w:ascii="Times New Roman" w:cs="Times New Roman" w:eastAsia="Times New Roman" w:hAnsi="Times New Roman"/>
                <w:color w:val="1F2937"/>
                <w:sz w:val="20"/>
                <w:szCs w:val="20"/>
              </w:rPr>
              <w:t xml:space="preserve">Algorithmes changeants, commissions réduites sans préavis</w:t>
            </w:r>
          </w:p>
        </w:tc>
        <w:tc>
          <w:tcPr>
            <w:shd w:fill="FFFFFF" w:color="FFFFFF" w:val="solid"/>
          </w:tcPr>
          <w:p>
            <w:r>
              <w:rPr>
                <w:rFonts w:ascii="Times New Roman" w:cs="Times New Roman" w:eastAsia="Times New Roman" w:hAnsi="Times New Roman"/>
                <w:color w:val="1F2937"/>
                <w:sz w:val="20"/>
                <w:szCs w:val="20"/>
              </w:rPr>
              <w:t xml:space="preserve">Élevée : contenu à rafraîchir en permanence</w:t>
            </w:r>
          </w:p>
        </w:tc>
      </w:tr>
      <w:tr>
        <w:tc>
          <w:tcPr>
            <w:shd w:fill="EEF2F7" w:color="EEF2F7" w:val="solid"/>
          </w:tcPr>
          <w:p>
            <w:r>
              <w:rPr>
                <w:rFonts w:ascii="Times New Roman" w:cs="Times New Roman" w:eastAsia="Times New Roman" w:hAnsi="Times New Roman"/>
                <w:color w:val="1F2937"/>
                <w:sz w:val="20"/>
                <w:szCs w:val="20"/>
              </w:rPr>
              <w:t xml:space="preserve">Micro-SaaS / automatisation</w:t>
            </w:r>
          </w:p>
        </w:tc>
        <w:tc>
          <w:tcPr>
            <w:shd w:fill="EEF2F7" w:color="EEF2F7" w:val="solid"/>
          </w:tcPr>
          <w:p>
            <w:r>
              <w:rPr>
                <w:rFonts w:ascii="Times New Roman" w:cs="Times New Roman" w:eastAsia="Times New Roman" w:hAnsi="Times New Roman"/>
                <w:color w:val="1F2937"/>
                <w:sz w:val="20"/>
                <w:szCs w:val="20"/>
              </w:rPr>
              <w:t xml:space="preserve">Hébergement, outils no-code</w:t>
            </w:r>
          </w:p>
        </w:tc>
        <w:tc>
          <w:tcPr>
            <w:shd w:fill="EEF2F7" w:color="EEF2F7" w:val="solid"/>
          </w:tcPr>
          <w:p>
            <w:r>
              <w:rPr>
                <w:rFonts w:ascii="Times New Roman" w:cs="Times New Roman" w:eastAsia="Times New Roman" w:hAnsi="Times New Roman"/>
                <w:color w:val="1F2937"/>
                <w:sz w:val="20"/>
                <w:szCs w:val="20"/>
              </w:rPr>
              <w:t xml:space="preserve">Maintenance technique, abandon clients, API tierces instables</w:t>
            </w:r>
          </w:p>
        </w:tc>
        <w:tc>
          <w:tcPr>
            <w:shd w:fill="EEF2F7" w:color="EEF2F7" w:val="solid"/>
          </w:tcPr>
          <w:p>
            <w:r>
              <w:rPr>
                <w:rFonts w:ascii="Times New Roman" w:cs="Times New Roman" w:eastAsia="Times New Roman" w:hAnsi="Times New Roman"/>
                <w:color w:val="1F2937"/>
                <w:sz w:val="20"/>
                <w:szCs w:val="20"/>
              </w:rPr>
              <w:t xml:space="preserve">Élevée au démarrage, variable ensuite</w:t>
            </w:r>
          </w:p>
        </w:tc>
      </w:tr>
    </w:tbl>
    <w:p>
      <w:pPr>
        <w:spacing w:after="120"/>
      </w:pPr>
    </w:p>
    <w:p>
      <w:pPr>
        <w:pStyle w:val="Heading2"/>
        <w:spacing w:after="120" w:before="300"/>
      </w:pPr>
      <w:r>
        <w:rPr>
          <w:rFonts w:ascii="Times New Roman" w:cs="Times New Roman" w:eastAsia="Times New Roman" w:hAnsi="Times New Roman"/>
          <w:b/>
          <w:bCs/>
          <w:color w:val="1B3A6B"/>
          <w:sz w:val="30"/>
          <w:szCs w:val="30"/>
        </w:rPr>
        <w:t xml:space="preserve">📉 Ancrage réaliste — Ce que les chiffres disent vraiment</w:t>
      </w:r>
    </w:p>
    <w:p>
      <w:pPr>
        <w:pStyle w:val="Heading3"/>
        <w:spacing w:after="80" w:before="200"/>
      </w:pPr>
      <w:r>
        <w:rPr>
          <w:rFonts w:ascii="Times New Roman" w:cs="Times New Roman" w:eastAsia="Times New Roman" w:hAnsi="Times New Roman"/>
          <w:b/>
          <w:bCs/>
          <w:color w:val="1F2937"/>
          <w:sz w:val="26"/>
          <w:szCs w:val="26"/>
        </w:rPr>
        <w:t xml:space="preserve">Taux d'échec des modèles numériques</w:t>
      </w:r>
    </w:p>
    <w:p>
      <w:pPr>
        <w:spacing w:after="120"/>
      </w:pPr>
      <w:r>
        <w:rPr>
          <w:rFonts w:ascii="Times New Roman" w:cs="Times New Roman" w:eastAsia="Times New Roman" w:hAnsi="Times New Roman"/>
          <w:b w:val="false"/>
          <w:bCs w:val="false"/>
          <w:color w:val="1F2937"/>
          <w:sz w:val="22"/>
          <w:szCs w:val="22"/>
        </w:rPr>
        <w:t xml:space="preserve">Les données sur les taux d'échec dans ce secteur sont quasi exclusivement produites par des acteurs commerciaux (vendeurs de formations, plateformes de dropshipping). Aucune étude académique indépendante n'a pu être retrouvée lors de cette exécution. Les chiffres suivants sont issus de sources secondaires (blogs et comparateurs) et doivent être traités comme des ordres de grandeur, non comme des données vérifiées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E-commerce / dropshipping : 80 à 90 % des boutiques cessent leur activité dans les quatre premiers mois, selon des agrégateurs sectoriels (sources : kiwezo.com, thunderbit.com — sources secondaires commerciales, à prendre avec précaution)</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taux de complétion des formations en ligne « self-paced » est de 15 à 25 % — la formation qui devait générer un revenu passif est d'abord une formation que la plupart abandonnent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Donnée non trouvée sur source primaire : taux d'échec global des créateurs qui cherchent à « vivre de leurs contenus »</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 MÉFIANCE MÉTHODOLOGIQUE : dans ce domaine, le taux d'échec est rarement publié par ceux qui vendent des formations pour éviter l'échec. Les chiffres de 80 % ou 90 % circulent massivement mais leur origine exacte est rarement vérifiable. Ce qui est certain : la grande majorité des projets ne génèrent pas le revenu espéré, et le délai avant que le flux soit « réellement passif » se compte en mois ou en années, pas en semaines.</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Les arnaques ciblant les aspirants rentiers — données AMF</w:t>
      </w:r>
    </w:p>
    <w:p>
      <w:pPr>
        <w:spacing w:after="120"/>
      </w:pPr>
      <w:r>
        <w:rPr>
          <w:rFonts w:ascii="Times New Roman" w:cs="Times New Roman" w:eastAsia="Times New Roman" w:hAnsi="Times New Roman"/>
          <w:b w:val="false"/>
          <w:bCs w:val="false"/>
          <w:color w:val="1F2937"/>
          <w:sz w:val="22"/>
          <w:szCs w:val="22"/>
        </w:rPr>
        <w:t xml:space="preserve">Source : AMF (Autorité des Marchés Financiers), baromètre 2025 — étude BVA Xsight, octobre 2024, 5 001 personnes interrogées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16 % des Français interrogés déclarent avoir déjà été victimes d'une escroquerie sur un placement financier (proportion stable depuis deux ans selon l'AMF)</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Les escrocs exploitent la sensibilité aux thèmes tendance : intelligence artificielle, transition énergétique, cryptomonnaies, deepfakes de personnalités connues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L'AMF signale l'industrialisation des arnaques via l'IA (deepfakes, chatbots de démarchage)</w:t>
      </w:r>
    </w:p>
    <w:p>
      <w:pPr>
        <w:spacing w:after="120"/>
      </w:pPr>
    </w:p>
    <w:p>
      <w:pPr>
        <w:spacing w:after="120"/>
      </w:pPr>
      <w:r>
        <w:rPr>
          <w:rFonts w:ascii="Times New Roman" w:cs="Times New Roman" w:eastAsia="Times New Roman" w:hAnsi="Times New Roman"/>
          <w:b w:val="false"/>
          <w:bCs w:val="false"/>
          <w:color w:val="1F2937"/>
          <w:sz w:val="22"/>
          <w:szCs w:val="22"/>
        </w:rPr>
        <w:t xml:space="preserve">Signaux d'alerte génériques identifiés par l'AMF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Rendement élevé « garanti » ou « sans risque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Pression à agir vite, offre limitée dans le temps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Conseiller non inscrit sur un registre officiel (ORIAS, registre AMF)</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Difficulté à récupérer son argent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Promesse de récupération de fonds perdus moyennant une avance</w:t>
      </w:r>
    </w:p>
    <w:p>
      <w:pPr>
        <w:spacing w:after="120"/>
      </w:pPr>
    </w:p>
    <w:p>
      <w:pPr>
        <w:spacing w:after="120"/>
      </w:pPr>
      <w:r>
        <w:rPr>
          <w:rFonts w:ascii="Times New Roman" w:cs="Times New Roman" w:eastAsia="Times New Roman" w:hAnsi="Times New Roman"/>
          <w:b w:val="false"/>
          <w:bCs w:val="false"/>
          <w:color w:val="1F2937"/>
          <w:sz w:val="22"/>
          <w:szCs w:val="22"/>
        </w:rPr>
        <w:t xml:space="preserve">Vérification : site officiel AMF Protect Épargne → https://protectepargne.amf-france.org</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Le « travail passif » qui ne l'est pas vraiment</w:t>
      </w:r>
    </w:p>
    <w:p>
      <w:pPr>
        <w:spacing w:after="120"/>
      </w:pPr>
      <w:r>
        <w:rPr>
          <w:rFonts w:ascii="Times New Roman" w:cs="Times New Roman" w:eastAsia="Times New Roman" w:hAnsi="Times New Roman"/>
          <w:b w:val="false"/>
          <w:bCs w:val="false"/>
          <w:color w:val="1F2937"/>
          <w:sz w:val="22"/>
          <w:szCs w:val="22"/>
        </w:rPr>
        <w:t xml:space="preserve">Synthèse (non citation — aucune étude primaire retrouvée sur ce point lors de cette exécution) : les professionnels qui ont bâti des revenus passifs durables rapportent systématiquement une phase initiale très active. Quelques exemples concrets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 ebook : 50 à 200 heures de rédaction, relecture, mise en page, lancement. Puis du marketing continu pour maintenir les ventes.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 bien locatif : recherche, financement, négociation, travaux, gestion des locataires. Déléguer à une agence coûte 6 à 10 % des loyers annuels.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Une chaîne YouTube monétisée : des mois de création avant la première monétisation, puis un rythme régulier pour rester visible dans les algorithmes.</w:t>
      </w: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La définition usuelle dit « revenu passif = revenus sans effort continu ». La réalité dit : « revenu passif = revenus sans effort VISIBLE, mais avec un effort initial souvent sous-estimé et un effort de maintenance rarement comptabilisé. » — Synthèse, non citation.</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Pratique (80%) — Trois exercices actifs</w:t>
      </w:r>
    </w:p>
    <w:p>
      <w:pPr>
        <w:pStyle w:val="Heading3"/>
        <w:spacing w:after="80" w:before="200"/>
      </w:pPr>
      <w:r>
        <w:rPr>
          <w:rFonts w:ascii="Times New Roman" w:cs="Times New Roman" w:eastAsia="Times New Roman" w:hAnsi="Times New Roman"/>
          <w:b/>
          <w:bCs/>
          <w:color w:val="1F2937"/>
          <w:sz w:val="26"/>
          <w:szCs w:val="26"/>
        </w:rPr>
        <w:t xml:space="preserve">Exercice 1 — Calcul du rendement net réel d'une SCPI</w:t>
      </w:r>
    </w:p>
    <w:p>
      <w:pPr>
        <w:spacing w:after="120"/>
      </w:pPr>
      <w:r>
        <w:rPr>
          <w:rFonts w:ascii="Times New Roman" w:cs="Times New Roman" w:eastAsia="Times New Roman" w:hAnsi="Times New Roman"/>
          <w:b w:val="false"/>
          <w:bCs w:val="false"/>
          <w:color w:val="1F2937"/>
          <w:sz w:val="22"/>
          <w:szCs w:val="22"/>
        </w:rPr>
        <w:t xml:space="preserve">Données de départ (réelles)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Capital investi : 10 000 €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Taux de distribution SCPI 2025 (source ASPIM, Q1 2026) : 4,92 %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Frais de souscription : 8 % prélevés à l'entrée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Frais de gestion annuels : estimés à 10 % des loyers distribués (non retrouvés sur source primaire — indiqués comme ordre de grandeur non sourcé)</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Prélèvements sociaux sur revenus fonciers (2026) : 17,2 %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Imposition IR (hypothèse : tranche à 30 %)</w:t>
      </w:r>
    </w:p>
    <w:p>
      <w:pPr>
        <w:spacing w:after="120"/>
      </w:pPr>
    </w:p>
    <w:p>
      <w:pPr>
        <w:spacing w:after="120"/>
      </w:pPr>
      <w:r>
        <w:rPr>
          <w:rFonts w:ascii="Times New Roman" w:cs="Times New Roman" w:eastAsia="Times New Roman" w:hAnsi="Times New Roman"/>
          <w:b w:val="false"/>
          <w:bCs w:val="false"/>
          <w:color w:val="1F2937"/>
          <w:sz w:val="22"/>
          <w:szCs w:val="22"/>
        </w:rPr>
        <w:t xml:space="preserve">Étapes à réaliser :</w:t>
      </w:r>
    </w:p>
    <w:p>
      <w:pPr>
        <w:pStyle w:val="ListParagraph"/>
        <w:numPr>
          <w:ilvl w:val="1"/>
          <w:numId w:val="1"/>
        </w:numPr>
        <w:spacing w:after="60"/>
      </w:pPr>
      <w:r>
        <w:rPr>
          <w:rFonts w:ascii="Times New Roman" w:cs="Times New Roman" w:eastAsia="Times New Roman" w:hAnsi="Times New Roman"/>
          <w:color w:val="1F2937"/>
          <w:sz w:val="22"/>
          <w:szCs w:val="22"/>
        </w:rPr>
        <w:t xml:space="preserve">a) Calcule le capital réellement investi après frais de souscription</w:t>
      </w:r>
    </w:p>
    <w:p>
      <w:pPr>
        <w:pStyle w:val="ListParagraph"/>
        <w:numPr>
          <w:ilvl w:val="1"/>
          <w:numId w:val="1"/>
        </w:numPr>
        <w:spacing w:after="60"/>
      </w:pPr>
      <w:r>
        <w:rPr>
          <w:rFonts w:ascii="Times New Roman" w:cs="Times New Roman" w:eastAsia="Times New Roman" w:hAnsi="Times New Roman"/>
          <w:color w:val="1F2937"/>
          <w:sz w:val="22"/>
          <w:szCs w:val="22"/>
        </w:rPr>
        <w:t xml:space="preserve">b) Calcule le revenu brut annuel au taux de distribution</w:t>
      </w:r>
    </w:p>
    <w:p>
      <w:pPr>
        <w:pStyle w:val="ListParagraph"/>
        <w:numPr>
          <w:ilvl w:val="1"/>
          <w:numId w:val="1"/>
        </w:numPr>
        <w:spacing w:after="60"/>
      </w:pPr>
      <w:r>
        <w:rPr>
          <w:rFonts w:ascii="Times New Roman" w:cs="Times New Roman" w:eastAsia="Times New Roman" w:hAnsi="Times New Roman"/>
          <w:color w:val="1F2937"/>
          <w:sz w:val="22"/>
          <w:szCs w:val="22"/>
        </w:rPr>
        <w:t xml:space="preserve">c) Déduis les frais de gestion annuels</w:t>
      </w:r>
    </w:p>
    <w:p>
      <w:pPr>
        <w:pStyle w:val="ListParagraph"/>
        <w:numPr>
          <w:ilvl w:val="1"/>
          <w:numId w:val="1"/>
        </w:numPr>
        <w:spacing w:after="60"/>
      </w:pPr>
      <w:r>
        <w:rPr>
          <w:rFonts w:ascii="Times New Roman" w:cs="Times New Roman" w:eastAsia="Times New Roman" w:hAnsi="Times New Roman"/>
          <w:color w:val="1F2937"/>
          <w:sz w:val="22"/>
          <w:szCs w:val="22"/>
        </w:rPr>
        <w:t xml:space="preserve">d) Applique les prélèvements sociaux (17,2 %) sur le revenu net de frais</w:t>
      </w:r>
    </w:p>
    <w:p>
      <w:pPr>
        <w:pStyle w:val="ListParagraph"/>
        <w:numPr>
          <w:ilvl w:val="1"/>
          <w:numId w:val="1"/>
        </w:numPr>
        <w:spacing w:after="60"/>
      </w:pPr>
      <w:r>
        <w:rPr>
          <w:rFonts w:ascii="Times New Roman" w:cs="Times New Roman" w:eastAsia="Times New Roman" w:hAnsi="Times New Roman"/>
          <w:color w:val="1F2937"/>
          <w:sz w:val="22"/>
          <w:szCs w:val="22"/>
        </w:rPr>
        <w:t xml:space="preserve">e) Applique l'IR à 30 % sur ce qui reste après prélèvements sociaux</w:t>
      </w:r>
    </w:p>
    <w:p>
      <w:pPr>
        <w:pStyle w:val="ListParagraph"/>
        <w:numPr>
          <w:ilvl w:val="1"/>
          <w:numId w:val="1"/>
        </w:numPr>
        <w:spacing w:after="60"/>
      </w:pPr>
      <w:r>
        <w:rPr>
          <w:rFonts w:ascii="Times New Roman" w:cs="Times New Roman" w:eastAsia="Times New Roman" w:hAnsi="Times New Roman"/>
          <w:color w:val="1F2937"/>
          <w:sz w:val="22"/>
          <w:szCs w:val="22"/>
        </w:rPr>
        <w:t xml:space="preserve">f) Calcule le rendement net final (revenu net / capital initial)</w:t>
      </w:r>
    </w:p>
    <w:p>
      <w:pPr>
        <w:pStyle w:val="ListParagraph"/>
        <w:numPr>
          <w:ilvl w:val="1"/>
          <w:numId w:val="1"/>
        </w:numPr>
        <w:spacing w:after="60"/>
      </w:pPr>
      <w:r>
        <w:rPr>
          <w:rFonts w:ascii="Times New Roman" w:cs="Times New Roman" w:eastAsia="Times New Roman" w:hAnsi="Times New Roman"/>
          <w:color w:val="1F2937"/>
          <w:sz w:val="22"/>
          <w:szCs w:val="22"/>
        </w:rPr>
        <w:t xml:space="preserve">g) Compare avec le 4,92 % affiché et tire une conclusion</w:t>
      </w:r>
    </w:p>
    <w:p>
      <w:pPr>
        <w:spacing w:after="120"/>
      </w:pPr>
    </w:p>
    <w:p>
      <w:pPr>
        <w:spacing w:after="120"/>
      </w:pPr>
      <w:r>
        <w:rPr>
          <w:rFonts w:ascii="Times New Roman" w:cs="Times New Roman" w:eastAsia="Times New Roman" w:hAnsi="Times New Roman"/>
          <w:b w:val="false"/>
          <w:bCs w:val="false"/>
          <w:color w:val="1F2937"/>
          <w:sz w:val="22"/>
          <w:szCs w:val="22"/>
        </w:rPr>
        <w:t xml:space="preserve">Corrigé :</w:t>
      </w:r>
    </w:p>
    <w:p>
      <w:pPr>
        <w:pStyle w:val="ListParagraph"/>
        <w:numPr>
          <w:ilvl w:val="1"/>
          <w:numId w:val="1"/>
        </w:numPr>
        <w:spacing w:after="60"/>
      </w:pPr>
      <w:r>
        <w:rPr>
          <w:rFonts w:ascii="Times New Roman" w:cs="Times New Roman" w:eastAsia="Times New Roman" w:hAnsi="Times New Roman"/>
          <w:color w:val="1F2937"/>
          <w:sz w:val="22"/>
          <w:szCs w:val="22"/>
        </w:rPr>
        <w:t xml:space="preserve">a) Capital après frais de souscription : 10 000 × (1 − 0,08) = 9 200 €</w:t>
      </w:r>
    </w:p>
    <w:p>
      <w:pPr>
        <w:pStyle w:val="ListParagraph"/>
        <w:numPr>
          <w:ilvl w:val="1"/>
          <w:numId w:val="1"/>
        </w:numPr>
        <w:spacing w:after="60"/>
      </w:pPr>
      <w:r>
        <w:rPr>
          <w:rFonts w:ascii="Times New Roman" w:cs="Times New Roman" w:eastAsia="Times New Roman" w:hAnsi="Times New Roman"/>
          <w:color w:val="1F2937"/>
          <w:sz w:val="22"/>
          <w:szCs w:val="22"/>
        </w:rPr>
        <w:t xml:space="preserve">b) Revenu brut annuel : 9 200 × 4,92 % = 452,64 €</w:t>
      </w:r>
    </w:p>
    <w:p>
      <w:pPr>
        <w:pStyle w:val="ListParagraph"/>
        <w:numPr>
          <w:ilvl w:val="1"/>
          <w:numId w:val="1"/>
        </w:numPr>
        <w:spacing w:after="60"/>
      </w:pPr>
      <w:r>
        <w:rPr>
          <w:rFonts w:ascii="Times New Roman" w:cs="Times New Roman" w:eastAsia="Times New Roman" w:hAnsi="Times New Roman"/>
          <w:color w:val="1F2937"/>
          <w:sz w:val="22"/>
          <w:szCs w:val="22"/>
        </w:rPr>
        <w:t xml:space="preserve">c) Frais de gestion (10 % des loyers distribués — ordre de grandeur non sourcé) : 452,64 × 10 % = 45,26 €. Revenu après frais : 452,64 − 45,26 = 407,38 €</w:t>
      </w:r>
    </w:p>
    <w:p>
      <w:pPr>
        <w:pStyle w:val="ListParagraph"/>
        <w:numPr>
          <w:ilvl w:val="1"/>
          <w:numId w:val="1"/>
        </w:numPr>
        <w:spacing w:after="60"/>
      </w:pPr>
      <w:r>
        <w:rPr>
          <w:rFonts w:ascii="Times New Roman" w:cs="Times New Roman" w:eastAsia="Times New Roman" w:hAnsi="Times New Roman"/>
          <w:color w:val="1F2937"/>
          <w:sz w:val="22"/>
          <w:szCs w:val="22"/>
        </w:rPr>
        <w:t xml:space="preserve">d) Prélèvements sociaux (17,2 %) : 407,38 × 17,2 % = 70,07 €. Base IR : 407,38 − 70,07 = 337,31 €</w:t>
      </w:r>
    </w:p>
    <w:p>
      <w:pPr>
        <w:pStyle w:val="ListParagraph"/>
        <w:numPr>
          <w:ilvl w:val="1"/>
          <w:numId w:val="1"/>
        </w:numPr>
        <w:spacing w:after="60"/>
      </w:pPr>
      <w:r>
        <w:rPr>
          <w:rFonts w:ascii="Times New Roman" w:cs="Times New Roman" w:eastAsia="Times New Roman" w:hAnsi="Times New Roman"/>
          <w:color w:val="1F2937"/>
          <w:sz w:val="22"/>
          <w:szCs w:val="22"/>
        </w:rPr>
        <w:t xml:space="preserve">e) IR à 30 % : 337,31 × 30 % = 101,19 €. Revenu net final : 337,31 − 101,19 = 236,12 €</w:t>
      </w:r>
    </w:p>
    <w:p>
      <w:pPr>
        <w:pStyle w:val="ListParagraph"/>
        <w:numPr>
          <w:ilvl w:val="1"/>
          <w:numId w:val="1"/>
        </w:numPr>
        <w:spacing w:after="60"/>
      </w:pPr>
      <w:r>
        <w:rPr>
          <w:rFonts w:ascii="Times New Roman" w:cs="Times New Roman" w:eastAsia="Times New Roman" w:hAnsi="Times New Roman"/>
          <w:color w:val="1F2937"/>
          <w:sz w:val="22"/>
          <w:szCs w:val="22"/>
        </w:rPr>
        <w:t xml:space="preserve">f) Rendement net sur capital initial : 236,12 / 10 000 = 2,36 %</w:t>
      </w:r>
    </w:p>
    <w:p>
      <w:pPr>
        <w:pStyle w:val="ListParagraph"/>
        <w:numPr>
          <w:ilvl w:val="1"/>
          <w:numId w:val="1"/>
        </w:numPr>
        <w:spacing w:after="60"/>
      </w:pPr>
      <w:r>
        <w:rPr>
          <w:rFonts w:ascii="Times New Roman" w:cs="Times New Roman" w:eastAsia="Times New Roman" w:hAnsi="Times New Roman"/>
          <w:color w:val="1F2937"/>
          <w:sz w:val="22"/>
          <w:szCs w:val="22"/>
        </w:rPr>
        <w:t xml:space="preserve">g) Conclusion : le 4,92 % affiché devient 2,36 % net réel — soit un rapport de 1 à 2. Le capital de 10 000 € rapporte 236 € par an, soit moins de 20 € par mois.</w:t>
      </w:r>
    </w:p>
    <w:p>
      <w:pPr>
        <w:spacing w:after="120"/>
      </w:pP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 corrigé s'appuie sur le taux de distribution ASPIM (source primaire vérifiée), le taux PS de 17,2 % sur les revenus fonciers (source service-public.fr vérifiée) et l'IR à 30 % (hypothèse de tranche, non personnalisée). Les frais de gestion de 10 % sont une hypothèse non sourcée — à vérifier sur la notice de chaque SCPI. Le résultat exact varie selon la SCPI et ta situation fiscale. Ne prends aucune décision sur cette base sans consulter les prospectus officiels et un professionnel.</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Exercice 2 — Analyse critique d'une offre réelle</w:t>
      </w:r>
    </w:p>
    <w:p>
      <w:pPr>
        <w:spacing w:after="120"/>
      </w:pPr>
      <w:r>
        <w:rPr>
          <w:rFonts w:ascii="Times New Roman" w:cs="Times New Roman" w:eastAsia="Times New Roman" w:hAnsi="Times New Roman"/>
          <w:b w:val="false"/>
          <w:bCs w:val="false"/>
          <w:color w:val="1F2937"/>
          <w:sz w:val="22"/>
          <w:szCs w:val="22"/>
        </w:rPr>
        <w:t xml:space="preserve">Objectif : décoder le langage marketing d'une offre de « revenu passif ».</w:t>
      </w:r>
    </w:p>
    <w:p>
      <w:pPr>
        <w:spacing w:after="120"/>
      </w:pPr>
      <w:r>
        <w:rPr>
          <w:rFonts w:ascii="Times New Roman" w:cs="Times New Roman" w:eastAsia="Times New Roman" w:hAnsi="Times New Roman"/>
          <w:b w:val="false"/>
          <w:bCs w:val="false"/>
          <w:color w:val="1F2937"/>
          <w:sz w:val="22"/>
          <w:szCs w:val="22"/>
        </w:rPr>
        <w:t xml:space="preserve">Imagine l'annonce suivante (offre fictive type, construite à partir des patterns observés dans le secteur) :</w:t>
      </w:r>
    </w:p>
    <w:p>
      <w:pPr>
        <w:pBdr>
          <w:left w:val="thick" w:color="1B3A6B" w:sz="12"/>
        </w:pBdr>
        <w:shd w:fill="EEF2F7" w:color="EEF2F7" w:val="solid"/>
        <w:spacing w:after="200" w:before="100"/>
        <w:ind w:left="360" w:right="360"/>
      </w:pPr>
      <w:r>
        <w:rPr>
          <w:rFonts w:ascii="Times New Roman" w:cs="Times New Roman" w:eastAsia="Times New Roman" w:hAnsi="Times New Roman"/>
          <w:color w:val="1F2937"/>
          <w:sz w:val="22"/>
          <w:szCs w:val="22"/>
        </w:rPr>
        <w:t xml:space="preserve">« Formation complète — Vivez de votre passion ! Créez votre ebook en 7 jours et générez 500 € par mois automatiquement. Plus de 300 élèves satisfaits. Accès à vie. Bonus : template prêt à l'emploi. Prix de lancement : 297 € au lieu de 997 €. »</w:t>
      </w:r>
    </w:p>
    <w:p>
      <w:pPr>
        <w:spacing w:after="120"/>
      </w:pPr>
      <w:r>
        <w:rPr>
          <w:rFonts w:ascii="Times New Roman" w:cs="Times New Roman" w:eastAsia="Times New Roman" w:hAnsi="Times New Roman"/>
          <w:b w:val="false"/>
          <w:bCs w:val="false"/>
          <w:color w:val="1F2937"/>
          <w:sz w:val="22"/>
          <w:szCs w:val="22"/>
        </w:rPr>
        <w:t xml:space="preserve">Travail à faire :</w:t>
      </w:r>
    </w:p>
    <w:p>
      <w:pPr>
        <w:pStyle w:val="ListParagraph"/>
        <w:numPr>
          <w:ilvl w:val="1"/>
          <w:numId w:val="1"/>
        </w:numPr>
        <w:spacing w:after="60"/>
      </w:pPr>
      <w:r>
        <w:rPr>
          <w:rFonts w:ascii="Times New Roman" w:cs="Times New Roman" w:eastAsia="Times New Roman" w:hAnsi="Times New Roman"/>
          <w:color w:val="1F2937"/>
          <w:sz w:val="22"/>
          <w:szCs w:val="22"/>
        </w:rPr>
        <w:t xml:space="preserve">a) Identifie les 5 affirmations de l'annonce qui méritent d'être questionnées</w:t>
      </w:r>
    </w:p>
    <w:p>
      <w:pPr>
        <w:pStyle w:val="ListParagraph"/>
        <w:numPr>
          <w:ilvl w:val="1"/>
          <w:numId w:val="1"/>
        </w:numPr>
        <w:spacing w:after="60"/>
      </w:pPr>
      <w:r>
        <w:rPr>
          <w:rFonts w:ascii="Times New Roman" w:cs="Times New Roman" w:eastAsia="Times New Roman" w:hAnsi="Times New Roman"/>
          <w:color w:val="1F2937"/>
          <w:sz w:val="22"/>
          <w:szCs w:val="22"/>
        </w:rPr>
        <w:t xml:space="preserve">b) Pour chacune, formule la question précise que tu devrais poser au vendeur AVANT d'acheter</w:t>
      </w:r>
    </w:p>
    <w:p>
      <w:pPr>
        <w:pStyle w:val="ListParagraph"/>
        <w:numPr>
          <w:ilvl w:val="1"/>
          <w:numId w:val="1"/>
        </w:numPr>
        <w:spacing w:after="60"/>
      </w:pPr>
      <w:r>
        <w:rPr>
          <w:rFonts w:ascii="Times New Roman" w:cs="Times New Roman" w:eastAsia="Times New Roman" w:hAnsi="Times New Roman"/>
          <w:color w:val="1F2937"/>
          <w:sz w:val="22"/>
          <w:szCs w:val="22"/>
        </w:rPr>
        <w:t xml:space="preserve">c) Identifie les coûts invisibles que l'annonce ne mentionne pas</w:t>
      </w:r>
    </w:p>
    <w:p>
      <w:pPr>
        <w:pStyle w:val="ListParagraph"/>
        <w:numPr>
          <w:ilvl w:val="1"/>
          <w:numId w:val="1"/>
        </w:numPr>
        <w:spacing w:after="60"/>
      </w:pPr>
      <w:r>
        <w:rPr>
          <w:rFonts w:ascii="Times New Roman" w:cs="Times New Roman" w:eastAsia="Times New Roman" w:hAnsi="Times New Roman"/>
          <w:color w:val="1F2937"/>
          <w:sz w:val="22"/>
          <w:szCs w:val="22"/>
        </w:rPr>
        <w:t xml:space="preserve">d) Évalue si cette formation mérite l'investissement de 297 € — sans oublier le coût de ton temps</w:t>
      </w:r>
    </w:p>
    <w:p>
      <w:pPr>
        <w:spacing w:after="120"/>
      </w:pPr>
    </w:p>
    <w:p>
      <w:pPr>
        <w:spacing w:after="120"/>
      </w:pPr>
      <w:r>
        <w:rPr>
          <w:rFonts w:ascii="Times New Roman" w:cs="Times New Roman" w:eastAsia="Times New Roman" w:hAnsi="Times New Roman"/>
          <w:b w:val="false"/>
          <w:bCs w:val="false"/>
          <w:color w:val="1F2937"/>
          <w:sz w:val="22"/>
          <w:szCs w:val="22"/>
        </w:rPr>
        <w:t xml:space="preserve">Éléments de réponse (non exhaustif) :</w:t>
      </w:r>
    </w:p>
    <w:p>
      <w:pPr>
        <w:pStyle w:val="ListParagraph"/>
        <w:numPr>
          <w:ilvl w:val="1"/>
          <w:numId w:val="1"/>
        </w:numPr>
        <w:spacing w:after="60"/>
      </w:pPr>
      <w:r>
        <w:rPr>
          <w:rFonts w:ascii="Times New Roman" w:cs="Times New Roman" w:eastAsia="Times New Roman" w:hAnsi="Times New Roman"/>
          <w:color w:val="1F2937"/>
          <w:sz w:val="22"/>
          <w:szCs w:val="22"/>
        </w:rPr>
        <w:t xml:space="preserve">a) Affirmations à questionner : « 7 jours » (temps de création réel ?), « 500 €/mois automatiquement » (sur combien de temps ? ventes réelles démontrables ?), « 300 élèves satisfaits » (taux de réussite parmi eux ?), « accès à vie » (la plateforme existera dans 5 ans ?), prix barré « 997 € » (prix jamais pratiqué ?)</w:t>
      </w:r>
    </w:p>
    <w:p>
      <w:pPr>
        <w:pStyle w:val="ListParagraph"/>
        <w:numPr>
          <w:ilvl w:val="1"/>
          <w:numId w:val="1"/>
        </w:numPr>
        <w:spacing w:after="60"/>
      </w:pPr>
      <w:r>
        <w:rPr>
          <w:rFonts w:ascii="Times New Roman" w:cs="Times New Roman" w:eastAsia="Times New Roman" w:hAnsi="Times New Roman"/>
          <w:color w:val="1F2937"/>
          <w:sz w:val="22"/>
          <w:szCs w:val="22"/>
        </w:rPr>
        <w:t xml:space="preserve">b) Questions à poser : Combien d'élèves gagnent réellement 500 €/mois ? Puis-je parler à 3 anciens élèves ? Quelle est la politique de remboursement ? Quel est ton SIRET ?</w:t>
      </w:r>
    </w:p>
    <w:p>
      <w:pPr>
        <w:pStyle w:val="ListParagraph"/>
        <w:numPr>
          <w:ilvl w:val="1"/>
          <w:numId w:val="1"/>
        </w:numPr>
        <w:spacing w:after="60"/>
      </w:pPr>
      <w:r>
        <w:rPr>
          <w:rFonts w:ascii="Times New Roman" w:cs="Times New Roman" w:eastAsia="Times New Roman" w:hAnsi="Times New Roman"/>
          <w:color w:val="1F2937"/>
          <w:sz w:val="22"/>
          <w:szCs w:val="22"/>
        </w:rPr>
        <w:t xml:space="preserve">c) Coûts invisibles : ton temps (50 à 200 h minimum), plateforme de vente (5 à 30 €/mois), marketing (pub Facebook ou Google pour générer des ventes = budget à part), fiscalité (cotisations micro-entrepreneur + IR sur les ventes)</w:t>
      </w:r>
    </w:p>
    <w:p>
      <w:pPr>
        <w:pStyle w:val="ListParagraph"/>
        <w:numPr>
          <w:ilvl w:val="1"/>
          <w:numId w:val="1"/>
        </w:numPr>
        <w:spacing w:after="60"/>
      </w:pPr>
      <w:r>
        <w:rPr>
          <w:rFonts w:ascii="Times New Roman" w:cs="Times New Roman" w:eastAsia="Times New Roman" w:hAnsi="Times New Roman"/>
          <w:color w:val="1F2937"/>
          <w:sz w:val="22"/>
          <w:szCs w:val="22"/>
        </w:rPr>
        <w:t xml:space="preserve">d) À 297 €, si tu génères 100 ventes à 10 € (hypothèse basse), le chiffre d'affaires brut est 1 000 €. Après cotisations micro (21,2 % pour du BIC vente) : 788 €. Après IR : variable. Net : peut-être 550 €. Sans compter les heures passées ni le coût pub. L'équilibre économique est serré — et repose entièrement sur ta capacité à générer du trafic.</w:t>
      </w:r>
    </w:p>
    <w:p>
      <w:pPr>
        <w:spacing w:after="120"/>
      </w:pPr>
    </w:p>
    <w:p>
      <w:pPr>
        <w:pStyle w:val="Heading3"/>
        <w:spacing w:after="80" w:before="200"/>
      </w:pPr>
      <w:r>
        <w:rPr>
          <w:rFonts w:ascii="Times New Roman" w:cs="Times New Roman" w:eastAsia="Times New Roman" w:hAnsi="Times New Roman"/>
          <w:b/>
          <w:bCs/>
          <w:color w:val="1F2937"/>
          <w:sz w:val="26"/>
          <w:szCs w:val="26"/>
        </w:rPr>
        <w:t xml:space="preserve">Exercice 3 — Cartographie de tes charges réelles (modèle personnel)</w:t>
      </w:r>
    </w:p>
    <w:p>
      <w:pPr>
        <w:spacing w:after="120"/>
      </w:pPr>
      <w:r>
        <w:rPr>
          <w:rFonts w:ascii="Times New Roman" w:cs="Times New Roman" w:eastAsia="Times New Roman" w:hAnsi="Times New Roman"/>
          <w:b w:val="false"/>
          <w:bCs w:val="false"/>
          <w:color w:val="1F2937"/>
          <w:sz w:val="22"/>
          <w:szCs w:val="22"/>
        </w:rPr>
        <w:t xml:space="preserve">Travail de réflexion personnelle — aucune réponse type ne peut être donnée ici.</w:t>
      </w:r>
    </w:p>
    <w:p>
      <w:pPr>
        <w:spacing w:after="120"/>
      </w:pPr>
      <w:r>
        <w:rPr>
          <w:rFonts w:ascii="Times New Roman" w:cs="Times New Roman" w:eastAsia="Times New Roman" w:hAnsi="Times New Roman"/>
          <w:b w:val="false"/>
          <w:bCs w:val="false"/>
          <w:color w:val="1F2937"/>
          <w:sz w:val="22"/>
          <w:szCs w:val="22"/>
        </w:rPr>
        <w:t xml:space="preserve">Choisis UN modèle passif qui t'intéresse (immobilier locatif, SCPI, ebook, ETF à dividendes…). Construis un tableau en 4 colonnes :</w:t>
      </w:r>
    </w:p>
    <w:p>
      <w:pPr>
        <w:spacing w:after="12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gridCol w:w="100"/>
      </w:tblGrid>
      <w:tr>
        <w:tc>
          <w:tcPr>
            <w:shd w:fill="1B3A6B" w:color="1B3A6B" w:val="solid"/>
          </w:tcPr>
          <w:p>
            <w:pPr>
              <w:jc w:val="center"/>
            </w:pPr>
            <w:r>
              <w:rPr>
                <w:rFonts w:ascii="Times New Roman" w:cs="Times New Roman" w:eastAsia="Times New Roman" w:hAnsi="Times New Roman"/>
                <w:b/>
                <w:bCs/>
                <w:color w:val="FFFFFF"/>
                <w:sz w:val="20"/>
                <w:szCs w:val="20"/>
              </w:rPr>
              <w:t xml:space="preserve">Poste de coût</w:t>
            </w:r>
          </w:p>
        </w:tc>
        <w:tc>
          <w:tcPr>
            <w:shd w:fill="1B3A6B" w:color="1B3A6B" w:val="solid"/>
          </w:tcPr>
          <w:p>
            <w:pPr>
              <w:jc w:val="center"/>
            </w:pPr>
            <w:r>
              <w:rPr>
                <w:rFonts w:ascii="Times New Roman" w:cs="Times New Roman" w:eastAsia="Times New Roman" w:hAnsi="Times New Roman"/>
                <w:b/>
                <w:bCs/>
                <w:color w:val="FFFFFF"/>
                <w:sz w:val="20"/>
                <w:szCs w:val="20"/>
              </w:rPr>
              <w:t xml:space="preserve">Montant estimé (€)</w:t>
            </w:r>
          </w:p>
        </w:tc>
        <w:tc>
          <w:tcPr>
            <w:shd w:fill="1B3A6B" w:color="1B3A6B" w:val="solid"/>
          </w:tcPr>
          <w:p>
            <w:pPr>
              <w:jc w:val="center"/>
            </w:pPr>
            <w:r>
              <w:rPr>
                <w:rFonts w:ascii="Times New Roman" w:cs="Times New Roman" w:eastAsia="Times New Roman" w:hAnsi="Times New Roman"/>
                <w:b/>
                <w:bCs/>
                <w:color w:val="FFFFFF"/>
                <w:sz w:val="20"/>
                <w:szCs w:val="20"/>
              </w:rPr>
              <w:t xml:space="preserve">Fréquence</w:t>
            </w:r>
          </w:p>
        </w:tc>
        <w:tc>
          <w:tcPr>
            <w:shd w:fill="1B3A6B" w:color="1B3A6B" w:val="solid"/>
          </w:tcPr>
          <w:p>
            <w:pPr>
              <w:jc w:val="center"/>
            </w:pPr>
            <w:r>
              <w:rPr>
                <w:rFonts w:ascii="Times New Roman" w:cs="Times New Roman" w:eastAsia="Times New Roman" w:hAnsi="Times New Roman"/>
                <w:b/>
                <w:bCs/>
                <w:color w:val="FFFFFF"/>
                <w:sz w:val="20"/>
                <w:szCs w:val="20"/>
              </w:rPr>
              <w:t xml:space="preserve">Source de l'estimation</w:t>
            </w:r>
          </w:p>
        </w:tc>
      </w:tr>
      <w:tr>
        <w:tc>
          <w:tcPr>
            <w:shd w:fill="FFFFFF" w:color="FFFFFF" w:val="solid"/>
          </w:tcPr>
          <w:p>
            <w:r>
              <w:rPr>
                <w:rFonts w:ascii="Times New Roman" w:cs="Times New Roman" w:eastAsia="Times New Roman" w:hAnsi="Times New Roman"/>
                <w:color w:val="1F2937"/>
                <w:sz w:val="20"/>
                <w:szCs w:val="20"/>
              </w:rPr>
              <w:t xml:space="preserve">Investissement initial</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Unique</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Frais récurrents (plateforme, assurance, etc.)</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Mensuel / 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Fiscalité (PS + IR estimé)</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Temps de maintenance (en heures × ton taux horaire)</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Mensuel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Provisions (réparations, vacance, mise à jour)</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TOTAL charges</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Revenu brut annuel attendu</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Annuel</w:t>
            </w:r>
          </w:p>
        </w:tc>
        <w:tc>
          <w:tcPr>
            <w:shd w:fill="FFFFFF" w:color="FFFFFF" w:val="solid"/>
          </w:tcPr>
          <w:p>
            <w:r>
              <w:rPr>
                <w:rFonts w:ascii="Times New Roman" w:cs="Times New Roman" w:eastAsia="Times New Roman" w:hAnsi="Times New Roman"/>
                <w:color w:val="1F2937"/>
                <w:sz w:val="20"/>
                <w:szCs w:val="20"/>
              </w:rPr>
              <w:t xml:space="preserve">...</w:t>
            </w:r>
          </w:p>
        </w:tc>
      </w:tr>
      <w:tr>
        <w:tc>
          <w:tcPr>
            <w:shd w:fill="EEF2F7" w:color="EEF2F7" w:val="solid"/>
          </w:tcPr>
          <w:p>
            <w:r>
              <w:rPr>
                <w:rFonts w:ascii="Times New Roman" w:cs="Times New Roman" w:eastAsia="Times New Roman" w:hAnsi="Times New Roman"/>
                <w:color w:val="1F2937"/>
                <w:sz w:val="20"/>
                <w:szCs w:val="20"/>
              </w:rPr>
              <w:t xml:space="preserve">Revenu NET réel annuel (brut − charges)</w:t>
            </w:r>
          </w:p>
        </w:tc>
        <w:tc>
          <w:tcPr>
            <w:shd w:fill="EEF2F7" w:color="EEF2F7" w:val="solid"/>
          </w:tcPr>
          <w:p>
            <w:r>
              <w:rPr>
                <w:rFonts w:ascii="Times New Roman" w:cs="Times New Roman" w:eastAsia="Times New Roman" w:hAnsi="Times New Roman"/>
                <w:color w:val="1F2937"/>
                <w:sz w:val="20"/>
                <w:szCs w:val="20"/>
              </w:rPr>
              <w:t xml:space="preserve">...</w:t>
            </w:r>
          </w:p>
        </w:tc>
        <w:tc>
          <w:tcPr>
            <w:shd w:fill="EEF2F7" w:color="EEF2F7" w:val="solid"/>
          </w:tcPr>
          <w:p>
            <w:r>
              <w:rPr>
                <w:rFonts w:ascii="Times New Roman" w:cs="Times New Roman" w:eastAsia="Times New Roman" w:hAnsi="Times New Roman"/>
                <w:color w:val="1F2937"/>
                <w:sz w:val="20"/>
                <w:szCs w:val="20"/>
              </w:rPr>
              <w:t xml:space="preserve">Annuel</w:t>
            </w:r>
          </w:p>
        </w:tc>
        <w:tc>
          <w:tcPr>
            <w:shd w:fill="EEF2F7" w:color="EEF2F7" w:val="solid"/>
          </w:tcPr>
          <w:p>
            <w:r>
              <w:rPr>
                <w:rFonts w:ascii="Times New Roman" w:cs="Times New Roman" w:eastAsia="Times New Roman" w:hAnsi="Times New Roman"/>
                <w:color w:val="1F2937"/>
                <w:sz w:val="20"/>
                <w:szCs w:val="20"/>
              </w:rPr>
              <w:t xml:space="preserve">...</w:t>
            </w:r>
          </w:p>
        </w:tc>
      </w:tr>
      <w:tr>
        <w:tc>
          <w:tcPr>
            <w:shd w:fill="FFFFFF" w:color="FFFFFF" w:val="solid"/>
          </w:tcPr>
          <w:p>
            <w:r>
              <w:rPr>
                <w:rFonts w:ascii="Times New Roman" w:cs="Times New Roman" w:eastAsia="Times New Roman" w:hAnsi="Times New Roman"/>
                <w:color w:val="1F2937"/>
                <w:sz w:val="20"/>
                <w:szCs w:val="20"/>
              </w:rPr>
              <w:t xml:space="preserve">Rendement net réel (%)</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w:t>
            </w:r>
          </w:p>
        </w:tc>
        <w:tc>
          <w:tcPr>
            <w:shd w:fill="FFFFFF" w:color="FFFFFF" w:val="solid"/>
          </w:tcPr>
          <w:p>
            <w:r>
              <w:rPr>
                <w:rFonts w:ascii="Times New Roman" w:cs="Times New Roman" w:eastAsia="Times New Roman" w:hAnsi="Times New Roman"/>
                <w:color w:val="1F2937"/>
                <w:sz w:val="20"/>
                <w:szCs w:val="20"/>
              </w:rPr>
              <w:t xml:space="preserve">...</w:t>
            </w:r>
          </w:p>
        </w:tc>
      </w:tr>
    </w:tbl>
    <w:p>
      <w:pPr>
        <w:spacing w:after="120"/>
      </w:pPr>
    </w:p>
    <w:p>
      <w:pPr>
        <w:spacing w:after="120"/>
      </w:pPr>
      <w:r>
        <w:rPr>
          <w:rFonts w:ascii="Times New Roman" w:cs="Times New Roman" w:eastAsia="Times New Roman" w:hAnsi="Times New Roman"/>
          <w:b w:val="false"/>
          <w:bCs w:val="false"/>
          <w:color w:val="1F2937"/>
          <w:sz w:val="22"/>
          <w:szCs w:val="22"/>
        </w:rPr>
        <w:t xml:space="preserve">Règle : si tu n'as pas de source pour estimer un poste, marque-le « à rechercher » plutôt que d'inventer un chiffre.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Challenge — Déconstruire une promesse de rendement</w:t>
      </w:r>
    </w:p>
    <w:p>
      <w:pPr>
        <w:spacing w:after="120"/>
      </w:pPr>
      <w:r>
        <w:rPr>
          <w:rFonts w:ascii="Times New Roman" w:cs="Times New Roman" w:eastAsia="Times New Roman" w:hAnsi="Times New Roman"/>
          <w:b w:val="false"/>
          <w:bCs w:val="false"/>
          <w:color w:val="1F2937"/>
          <w:sz w:val="22"/>
          <w:szCs w:val="22"/>
        </w:rPr>
        <w:t xml:space="preserve">Une connaissance te présente un projet qui te rapporterait 600 € par mois en « totalement passif »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Achat de parts de SCPI pour 50 000 € (frais de souscription 8 %)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Taux de distribution annoncé : 5 % brut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Financement partiel par emprunt : 30 000 € à 3,5 % sur 15 ans</w:t>
      </w:r>
    </w:p>
    <w:p>
      <w:pPr>
        <w:spacing w:after="120"/>
      </w:pPr>
    </w:p>
    <w:p>
      <w:pPr>
        <w:spacing w:after="120"/>
      </w:pPr>
      <w:r>
        <w:rPr>
          <w:rFonts w:ascii="Times New Roman" w:cs="Times New Roman" w:eastAsia="Times New Roman" w:hAnsi="Times New Roman"/>
          <w:b w:val="false"/>
          <w:bCs w:val="false"/>
          <w:color w:val="1F2937"/>
          <w:sz w:val="22"/>
          <w:szCs w:val="22"/>
        </w:rPr>
        <w:t xml:space="preserve">Ta mission (4 parties) :</w:t>
      </w:r>
    </w:p>
    <w:p>
      <w:pPr>
        <w:pStyle w:val="ListParagraph"/>
        <w:numPr>
          <w:ilvl w:val="1"/>
          <w:numId w:val="1"/>
        </w:numPr>
        <w:spacing w:after="60"/>
      </w:pPr>
      <w:r>
        <w:rPr>
          <w:rFonts w:ascii="Times New Roman" w:cs="Times New Roman" w:eastAsia="Times New Roman" w:hAnsi="Times New Roman"/>
          <w:color w:val="1F2937"/>
          <w:sz w:val="22"/>
          <w:szCs w:val="22"/>
        </w:rPr>
        <w:t xml:space="preserve">1. Calcule le revenu brut annuel réel (sur le capital utile après frais de souscription)</w:t>
      </w:r>
    </w:p>
    <w:p>
      <w:pPr>
        <w:pStyle w:val="ListParagraph"/>
        <w:numPr>
          <w:ilvl w:val="1"/>
          <w:numId w:val="1"/>
        </w:numPr>
        <w:spacing w:after="60"/>
      </w:pPr>
      <w:r>
        <w:rPr>
          <w:rFonts w:ascii="Times New Roman" w:cs="Times New Roman" w:eastAsia="Times New Roman" w:hAnsi="Times New Roman"/>
          <w:color w:val="1F2937"/>
          <w:sz w:val="22"/>
          <w:szCs w:val="22"/>
        </w:rPr>
        <w:t xml:space="preserve">2. Calcule la charge d'intérêts annuelle de l'emprunt (approximation acceptable : 3,5 % × 30 000 €)</w:t>
      </w:r>
    </w:p>
    <w:p>
      <w:pPr>
        <w:pStyle w:val="ListParagraph"/>
        <w:numPr>
          <w:ilvl w:val="1"/>
          <w:numId w:val="1"/>
        </w:numPr>
        <w:spacing w:after="60"/>
      </w:pPr>
      <w:r>
        <w:rPr>
          <w:rFonts w:ascii="Times New Roman" w:cs="Times New Roman" w:eastAsia="Times New Roman" w:hAnsi="Times New Roman"/>
          <w:color w:val="1F2937"/>
          <w:sz w:val="22"/>
          <w:szCs w:val="22"/>
        </w:rPr>
        <w:t xml:space="preserve">3. Applique les prélèvements sociaux à 17,2 % (revenus fonciers SCPI) et l'IR à 30 % sur le revenu net</w:t>
      </w:r>
    </w:p>
    <w:p>
      <w:pPr>
        <w:pStyle w:val="ListParagraph"/>
        <w:numPr>
          <w:ilvl w:val="1"/>
          <w:numId w:val="1"/>
        </w:numPr>
        <w:spacing w:after="60"/>
      </w:pPr>
      <w:r>
        <w:rPr>
          <w:rFonts w:ascii="Times New Roman" w:cs="Times New Roman" w:eastAsia="Times New Roman" w:hAnsi="Times New Roman"/>
          <w:color w:val="1F2937"/>
          <w:sz w:val="22"/>
          <w:szCs w:val="22"/>
        </w:rPr>
        <w:t xml:space="preserve">4. Détermine si les 600 €/mois sont réalistes, et explique l'écart</w:t>
      </w:r>
    </w:p>
    <w:p>
      <w:pPr>
        <w:spacing w:after="120"/>
      </w:pPr>
    </w:p>
    <w:p>
      <w:pPr>
        <w:spacing w:after="120"/>
      </w:pPr>
      <w:r>
        <w:rPr>
          <w:rFonts w:ascii="Times New Roman" w:cs="Times New Roman" w:eastAsia="Times New Roman" w:hAnsi="Times New Roman"/>
          <w:b w:val="false"/>
          <w:bCs w:val="false"/>
          <w:color w:val="1F2937"/>
          <w:sz w:val="22"/>
          <w:szCs w:val="22"/>
        </w:rPr>
        <w:t xml:space="preserve">Éléments de corrigé :</w:t>
      </w:r>
    </w:p>
    <w:p>
      <w:pPr>
        <w:pStyle w:val="ListParagraph"/>
        <w:numPr>
          <w:ilvl w:val="1"/>
          <w:numId w:val="1"/>
        </w:numPr>
        <w:spacing w:after="60"/>
      </w:pPr>
      <w:r>
        <w:rPr>
          <w:rFonts w:ascii="Times New Roman" w:cs="Times New Roman" w:eastAsia="Times New Roman" w:hAnsi="Times New Roman"/>
          <w:color w:val="1F2937"/>
          <w:sz w:val="22"/>
          <w:szCs w:val="22"/>
        </w:rPr>
        <w:t xml:space="preserve">1. Capital après frais de souscription : 50 000 − 4 000 = 46 000 €. Revenu brut annuel : 46 000 × 5 % = 2 300 €</w:t>
      </w:r>
    </w:p>
    <w:p>
      <w:pPr>
        <w:pStyle w:val="ListParagraph"/>
        <w:numPr>
          <w:ilvl w:val="1"/>
          <w:numId w:val="1"/>
        </w:numPr>
        <w:spacing w:after="60"/>
      </w:pPr>
      <w:r>
        <w:rPr>
          <w:rFonts w:ascii="Times New Roman" w:cs="Times New Roman" w:eastAsia="Times New Roman" w:hAnsi="Times New Roman"/>
          <w:color w:val="1F2937"/>
          <w:sz w:val="22"/>
          <w:szCs w:val="22"/>
        </w:rPr>
        <w:t xml:space="preserve">2. Charge d'intérêts approximative : 30 000 × 3,5 % = 1 050 €/an (hors remboursement du capital)</w:t>
      </w:r>
    </w:p>
    <w:p>
      <w:pPr>
        <w:pStyle w:val="ListParagraph"/>
        <w:numPr>
          <w:ilvl w:val="1"/>
          <w:numId w:val="1"/>
        </w:numPr>
        <w:spacing w:after="60"/>
      </w:pPr>
      <w:r>
        <w:rPr>
          <w:rFonts w:ascii="Times New Roman" w:cs="Times New Roman" w:eastAsia="Times New Roman" w:hAnsi="Times New Roman"/>
          <w:color w:val="1F2937"/>
          <w:sz w:val="22"/>
          <w:szCs w:val="22"/>
        </w:rPr>
        <w:t xml:space="preserve">3. Revenu après intérêts : 2 300 − 1 050 = 1 250 €. Prélèvements sociaux 17,2 % : 1 250 × 17,2 % = 215 €. Base IR : 1 250 − 215 = 1 035 €. IR à 30 % : 311 €. Revenu net : 1 035 − 311 = 724 €</w:t>
      </w:r>
    </w:p>
    <w:p>
      <w:pPr>
        <w:pStyle w:val="ListParagraph"/>
        <w:numPr>
          <w:ilvl w:val="1"/>
          <w:numId w:val="1"/>
        </w:numPr>
        <w:spacing w:after="60"/>
      </w:pPr>
      <w:r>
        <w:rPr>
          <w:rFonts w:ascii="Times New Roman" w:cs="Times New Roman" w:eastAsia="Times New Roman" w:hAnsi="Times New Roman"/>
          <w:color w:val="1F2937"/>
          <w:sz w:val="22"/>
          <w:szCs w:val="22"/>
        </w:rPr>
        <w:t xml:space="preserve">4. 724 € / 12 = 60 € par mois — très loin des 600 € annoncés. L'écart vient de : l'effet des frais de souscription, du coût de l'emprunt, et de la fiscalité. En réalité, sur un investissement à 100 % fonds propres (sans emprunt), le résultat est 1 750 €/an soit ~146 €/mois — toujours pas 600 €. Pour atteindre 600 €/mois net, il faudrait un capital d'environ 250 000 € investi à ce rendement net, soit 5 fois plus.</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Ce corrigé repose sur des hypothèses simplificatrices (intérêts calculés sur le capital initial, frais de gestion SCPI non déduits faute de source, remboursement de capital non inclus dans le calcul de flux). Un plan de financement réel est plus complexe. La valeur de ce challenge n'est pas dans le chiffre exact, mais dans la méthode : couche par couche, l'écart entre rendement brut affiché et revenu net réel se révèle.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b w:val="false"/>
          <w:bCs w:val="false"/>
          <w:color w:val="1F2937"/>
          <w:sz w:val="22"/>
          <w:szCs w:val="22"/>
        </w:rPr>
        <w:t xml:space="preserve">Toutes ces URLs ont été testées et répondaient 200 le 16/08/2026 :</w:t>
      </w:r>
    </w:p>
    <w:p>
      <w:pPr>
        <w:spacing w:after="120"/>
      </w:pPr>
    </w:p>
    <w:p>
      <w:pPr>
        <w:pStyle w:val="ListParagraph"/>
        <w:numPr>
          <w:ilvl w:val="0"/>
          <w:numId w:val="1"/>
        </w:numPr>
        <w:spacing w:after="80"/>
      </w:pPr>
      <w:hyperlink w:history="1" r:id="rId_gggaz-sujbd-v0dpjd1r">
        <w:r>
          <w:rPr>
            <w:rFonts w:ascii="Times New Roman" w:cs="Times New Roman" w:eastAsia="Times New Roman" w:hAnsi="Times New Roman"/>
            <w:color w:val="1155CC"/>
            <w:sz w:val="22"/>
            <w:szCs w:val="22"/>
            <w:u w:val="single"/>
          </w:rPr>
          <w:t xml:space="preserve">Service-public.fr — Impôt sur les revenus d'épargne et de placement (PFU, taux 2026)</w:t>
        </w:r>
      </w:hyperlink>
    </w:p>
    <w:p>
      <w:pPr>
        <w:pStyle w:val="ListParagraph"/>
        <w:numPr>
          <w:ilvl w:val="0"/>
          <w:numId w:val="1"/>
        </w:numPr>
        <w:spacing w:after="80"/>
      </w:pPr>
      <w:hyperlink w:history="1" r:id="rIdptgrnehd3m4vsl4arrsjb">
        <w:r>
          <w:rPr>
            <w:rFonts w:ascii="Times New Roman" w:cs="Times New Roman" w:eastAsia="Times New Roman" w:hAnsi="Times New Roman"/>
            <w:color w:val="1155CC"/>
            <w:sz w:val="22"/>
            <w:szCs w:val="22"/>
            <w:u w:val="single"/>
          </w:rPr>
          <w:t xml:space="preserve">Service-public.fr — Prélèvements sociaux sur les revenus du capital (F2329)</w:t>
        </w:r>
      </w:hyperlink>
    </w:p>
    <w:p>
      <w:pPr>
        <w:pStyle w:val="ListParagraph"/>
        <w:numPr>
          <w:ilvl w:val="0"/>
          <w:numId w:val="1"/>
        </w:numPr>
        <w:spacing w:after="80"/>
      </w:pPr>
      <w:hyperlink w:history="1" r:id="rIdfoiee_mjrijwbagq1qxar">
        <w:r>
          <w:rPr>
            <w:rFonts w:ascii="Times New Roman" w:cs="Times New Roman" w:eastAsia="Times New Roman" w:hAnsi="Times New Roman"/>
            <w:color w:val="1155CC"/>
            <w:sz w:val="22"/>
            <w:szCs w:val="22"/>
            <w:u w:val="single"/>
          </w:rPr>
          <w:t xml:space="preserve">Service-public.fr — Revenus fonciers : régimes micro-foncier et réel (F1991)</w:t>
        </w:r>
      </w:hyperlink>
    </w:p>
    <w:p>
      <w:pPr>
        <w:pStyle w:val="ListParagraph"/>
        <w:numPr>
          <w:ilvl w:val="0"/>
          <w:numId w:val="1"/>
        </w:numPr>
        <w:spacing w:after="80"/>
      </w:pPr>
      <w:hyperlink w:history="1" r:id="rId8mtsoyl133u8hrqtseq0j">
        <w:r>
          <w:rPr>
            <w:rFonts w:ascii="Times New Roman" w:cs="Times New Roman" w:eastAsia="Times New Roman" w:hAnsi="Times New Roman"/>
            <w:color w:val="1155CC"/>
            <w:sz w:val="22"/>
            <w:szCs w:val="22"/>
            <w:u w:val="single"/>
          </w:rPr>
          <w:t xml:space="preserve">ASPIM — Collecte et performance des fonds immobiliers grand public, principaux indicateurs SCPI 2025</w:t>
        </w:r>
      </w:hyperlink>
    </w:p>
    <w:p>
      <w:pPr>
        <w:pStyle w:val="ListParagraph"/>
        <w:numPr>
          <w:ilvl w:val="0"/>
          <w:numId w:val="1"/>
        </w:numPr>
        <w:spacing w:after="80"/>
      </w:pPr>
      <w:hyperlink w:history="1" r:id="rId8tgmd5z1gio1qtject1na">
        <w:r>
          <w:rPr>
            <w:rFonts w:ascii="Times New Roman" w:cs="Times New Roman" w:eastAsia="Times New Roman" w:hAnsi="Times New Roman"/>
            <w:color w:val="1155CC"/>
            <w:sz w:val="22"/>
            <w:szCs w:val="22"/>
            <w:u w:val="single"/>
          </w:rPr>
          <w:t xml:space="preserve">AMF — Espace épargnants (mises en garde, arnaques, listes noires)</w:t>
        </w:r>
      </w:hyperlink>
    </w:p>
    <w:p>
      <w:pPr>
        <w:pStyle w:val="ListParagraph"/>
        <w:numPr>
          <w:ilvl w:val="0"/>
          <w:numId w:val="1"/>
        </w:numPr>
        <w:spacing w:after="80"/>
      </w:pPr>
      <w:hyperlink w:history="1" r:id="rIdboqrj_lverj5ofitiarla">
        <w:r>
          <w:rPr>
            <w:rFonts w:ascii="Times New Roman" w:cs="Times New Roman" w:eastAsia="Times New Roman" w:hAnsi="Times New Roman"/>
            <w:color w:val="1155CC"/>
            <w:sz w:val="22"/>
            <w:szCs w:val="22"/>
            <w:u w:val="single"/>
          </w:rPr>
          <w:t xml:space="preserve">AMF Protect Épargne — « Suis-je victime d'une arnaque ? »</w:t>
        </w:r>
      </w:hyperlink>
    </w:p>
    <w:p>
      <w:pPr>
        <w:pStyle w:val="ListParagraph"/>
        <w:numPr>
          <w:ilvl w:val="0"/>
          <w:numId w:val="1"/>
        </w:numPr>
        <w:spacing w:after="80"/>
      </w:pPr>
      <w:hyperlink w:history="1" r:id="rId3ewiub1szjkyjj0b7lblp">
        <w:r>
          <w:rPr>
            <w:rFonts w:ascii="Times New Roman" w:cs="Times New Roman" w:eastAsia="Times New Roman" w:hAnsi="Times New Roman"/>
            <w:color w:val="1155CC"/>
            <w:sz w:val="22"/>
            <w:szCs w:val="22"/>
            <w:u w:val="single"/>
          </w:rPr>
          <w:t xml:space="preserve">Service Public Entreprendre — Évolution du taux du PFU</w:t>
        </w:r>
      </w:hyperlink>
    </w:p>
    <w:p>
      <w:pPr>
        <w:spacing w:after="120"/>
      </w:pPr>
    </w:p>
    <w:p>
      <w:pPr>
        <w:spacing w:after="120"/>
      </w:pPr>
      <w:r>
        <w:rPr>
          <w:rFonts w:ascii="Times New Roman" w:cs="Times New Roman" w:eastAsia="Times New Roman" w:hAnsi="Times New Roman"/>
          <w:b w:val="false"/>
          <w:bCs w:val="false"/>
          <w:color w:val="1F2937"/>
          <w:sz w:val="22"/>
          <w:szCs w:val="22"/>
        </w:rPr>
        <w:t xml:space="preserve">Source non accessible lors de cette exécution (⛔ ECONNRESET)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autoentrepreneur.urssaf.fr — Taux de cotisations sociales micro-entrepreneur 2026 : consulter directement https://www.autoentrepreneur.urssaf.fr/portail/accueil/sinformer-sur-le-statut/lessentiel-du-statut.html</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Relecture finale — Points non sourcés à signaler</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1. Frais de gestion SCPI à 10 % des loyers : ordre de grandeur non retrouvé sur source primaire lors de cette exécution. À vérifier dans les notices des SCPI que tu envisages.</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2. Cotisations sociales micro-entrepreneur 2026 : le site autoentrepreneur.urssaf.fr était inaccessible (ECONNRESET). Les taux cités (25,6 % prestation de services, 21,2 % vente) viennent d'un résultat de recherche WebSearch pointant vers urssaf.fr — non lus directement sur la page primaire.</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3. Seuils de CA micro-entrepreneur 2026 : modifiés en 2026 selon un communiqué autoentrepreneur.urssaf.fr trouvé en recherche, mais non consultés faute d'accès. À vérifier.</w:t>
      </w:r>
    </w:p>
    <w:p>
      <w:pPr>
        <w:pBdr>
          <w:left w:val="thick" w:color="D97706" w:sz="12"/>
        </w:pBdr>
        <w:shd w:fill="FFF4E5" w:color="FFF4E5" w:val="solid"/>
        <w:spacing w:after="80"/>
        <w:ind w:left="360" w:right="360"/>
      </w:pPr>
      <w:r>
        <w:rPr>
          <w:rFonts w:ascii="Times New Roman" w:cs="Times New Roman" w:eastAsia="Times New Roman" w:hAnsi="Times New Roman"/>
          <w:color w:val="1F2937"/>
          <w:sz w:val="22"/>
          <w:szCs w:val="22"/>
        </w:rPr>
        <w:t xml:space="preserve">4. Taux d'échec e-commerce / dropshipping 80–90 % : sources secondaires commerciales, non vérifiables sur sources primaires académiques. Présentés comme ordres de grandeur.</w:t>
      </w:r>
    </w:p>
    <w:p>
      <w:pPr>
        <w:pBdr>
          <w:left w:val="thick" w:color="D97706" w:sz="12"/>
        </w:pBdr>
        <w:shd w:fill="FFF4E5" w:color="FFF4E5" w:val="solid"/>
        <w:spacing w:after="200"/>
        <w:ind w:left="360" w:right="360"/>
      </w:pPr>
      <w:r>
        <w:rPr>
          <w:rFonts w:ascii="Times New Roman" w:cs="Times New Roman" w:eastAsia="Times New Roman" w:hAnsi="Times New Roman"/>
          <w:color w:val="1F2937"/>
          <w:sz w:val="22"/>
          <w:szCs w:val="22"/>
        </w:rPr>
        <w:t xml:space="preserve">5. Temps de maintenance moyen : synthèse non sourcée, présentée explicitement comme telle.</w:t>
      </w:r>
    </w:p>
    <w:p>
      <w:pPr>
        <w:spacing w:after="120"/>
      </w:pPr>
    </w:p>
    <w:p>
      <w:pPr>
        <w:pStyle w:val="Heading2"/>
        <w:spacing w:after="120" w:before="300"/>
      </w:pPr>
      <w:r>
        <w:rPr>
          <w:rFonts w:ascii="Times New Roman" w:cs="Times New Roman" w:eastAsia="Times New Roman" w:hAnsi="Times New Roman"/>
          <w:b/>
          <w:bCs/>
          <w:color w:val="1B3A6B"/>
          <w:sz w:val="30"/>
          <w:szCs w:val="30"/>
        </w:rPr>
        <w:t xml:space="preserve">🔜 Prochaine leçon — Leçon 5</w:t>
      </w:r>
    </w:p>
    <w:p>
      <w:pPr>
        <w:spacing w:after="120"/>
      </w:pPr>
      <w:r>
        <w:rPr>
          <w:rFonts w:ascii="Times New Roman" w:cs="Times New Roman" w:eastAsia="Times New Roman" w:hAnsi="Times New Roman"/>
          <w:b w:val="false"/>
          <w:bCs w:val="false"/>
          <w:color w:val="1F2937"/>
          <w:sz w:val="22"/>
          <w:szCs w:val="22"/>
        </w:rPr>
        <w:t xml:space="preserve">Thème : Idées 1 et 2 — Produits numériques (ebooks, formations, templates) et contenus monétisés / affiliation</w:t>
      </w:r>
    </w:p>
    <w:p>
      <w:pPr>
        <w:spacing w:after="120"/>
      </w:pPr>
      <w:r>
        <w:rPr>
          <w:rFonts w:ascii="Times New Roman" w:cs="Times New Roman" w:eastAsia="Times New Roman" w:hAnsi="Times New Roman"/>
          <w:b w:val="false"/>
          <w:bCs w:val="false"/>
          <w:color w:val="1F2937"/>
          <w:sz w:val="22"/>
          <w:szCs w:val="22"/>
        </w:rPr>
        <w:t xml:space="preserve">Nous quitterons le registre de l'économie générale pour entrer dans la pratique : comment crée-t-on un produit numérique viable, comment l'affiliation fonctionne-t-elle vraiment, et quels sont les chiffres réels de revenus pour des créateurs ordinaires (pas les success stories)?</w:t>
      </w:r>
    </w:p>
    <w:p>
      <w:pPr>
        <w:spacing w:after="120"/>
      </w:pPr>
    </w:p>
    <w:p>
      <w:pPr>
        <w:pBdr>
          <w:top w:val="single" w:color="CCCCCC" w:sz="1"/>
        </w:pBdr>
        <w:spacing w:after="60" w:before="300"/>
        <w:jc w:val="center"/>
      </w:pPr>
      <w:r>
        <w:rPr>
          <w:rFonts w:ascii="Times New Roman" w:cs="Times New Roman" w:eastAsia="Times New Roman" w:hAnsi="Times New Roman"/>
          <w:color w:val="888888"/>
          <w:sz w:val="18"/>
          <w:szCs w:val="18"/>
        </w:rPr>
        <w:t xml:space="preserve">Leçon Revenus passifs n°4 / 10 — 16 août 2026 — Usage éducatif et personnel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gggaz-sujbd-v0dpjd1r" Type="http://schemas.openxmlformats.org/officeDocument/2006/relationships/hyperlink" Target="https://www.service-public.gouv.fr/particuliers/vosdroits/F34913/1_7" TargetMode="External"/><Relationship Id="rIdptgrnehd3m4vsl4arrsjb" Type="http://schemas.openxmlformats.org/officeDocument/2006/relationships/hyperlink" Target="https://www.service-public.gouv.fr/particuliers/vosdroits/F2329" TargetMode="External"/><Relationship Id="rIdfoiee_mjrijwbagq1qxar" Type="http://schemas.openxmlformats.org/officeDocument/2006/relationships/hyperlink" Target="https://www.service-public.gouv.fr/particuliers/vosdroits/F1991" TargetMode="External"/><Relationship Id="rId8mtsoyl133u8hrqtseq0j" Type="http://schemas.openxmlformats.org/officeDocument/2006/relationships/hyperlink" Target="https://www.aspim.fr/actualites/collecte-et-performance-des-fonds-immobiliers-grand-public-au-premier-trimestre-2026-et-principaux-indicateurs-des-scpi-en-2025/" TargetMode="External"/><Relationship Id="rId8tgmd5z1gio1qtject1na" Type="http://schemas.openxmlformats.org/officeDocument/2006/relationships/hyperlink" Target="https://www.amf-france.org/fr/espace-epargnants" TargetMode="External"/><Relationship Id="rIdboqrj_lverj5ofitiarla" Type="http://schemas.openxmlformats.org/officeDocument/2006/relationships/hyperlink" Target="https://protectepargne.amf-france.org/questionnaire-arnaque/questions" TargetMode="External"/><Relationship Id="rId3ewiub1szjkyjj0b7lblp" Type="http://schemas.openxmlformats.org/officeDocument/2006/relationships/hyperlink" Target="https://entreprendre.service-public.gouv.fr/actualites/A18796"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2026-08-16T05:10:56.997Z</dcterms:created>
  <dcterms:modified xsi:type="dcterms:W3CDTF">2026-08-16T05:10:57.008Z</dcterms:modified>
</cp:coreProperties>
</file>

<file path=docProps/custom.xml><?xml version="1.0" encoding="utf-8"?>
<Properties xmlns="http://schemas.openxmlformats.org/officeDocument/2006/custom-properties" xmlns:vt="http://schemas.openxmlformats.org/officeDocument/2006/docPropsVTypes"/>
</file>