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A6B"/>
          <w:sz w:val="36"/>
          <w:szCs w:val="36"/>
        </w:rPr>
        <w:t xml:space="preserve">Veille SERAFIN-PH — Synthèse hebdomadaire</w:t>
      </w:r>
    </w:p>
    <w:p>
      <w:pPr>
        <w:spacing w:after="200"/>
        <w:jc w:val="center"/>
      </w:pPr>
      <w:r>
        <w:rPr>
          <w:rFonts w:ascii="Calibri" w:cs="Calibri" w:eastAsia="Calibri" w:hAnsi="Calibri"/>
          <w:i/>
          <w:iCs/>
          <w:color w:val="1F2937"/>
          <w:sz w:val="22"/>
          <w:szCs w:val="22"/>
        </w:rPr>
        <w:t xml:space="preserve">Semaine du 15 juillet 2026</w:t>
      </w:r>
    </w:p>
    <w:p>
      <w:pPr>
        <w:spacing w:after="120" w:before="240"/>
      </w:pPr>
      <w:r>
        <w:rPr>
          <w:rFonts w:ascii="Calibri" w:cs="Calibri" w:eastAsia="Calibri" w:hAnsi="Calibri"/>
          <w:b/>
          <w:bCs/>
          <w:color w:val="1B3A6B"/>
          <w:sz w:val="28"/>
          <w:szCs w:val="28"/>
        </w:rPr>
        <w:t xml:space="preserve">Sources consultées</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gridCol w:w="100"/>
      </w:tblGrid>
      <w:tr>
        <w:trPr>
          <w:tblHeader/>
        </w:trPr>
        <w:tc>
          <w:tcPr>
            <w:tcW w:type="pct" w:w="55%"/>
            <w:shd w:fill="1B3A6B" w:val="clear"/>
            <w:tcMar>
              <w:top w:type="dxa" w:w="40"/>
              <w:left w:type="dxa" w:w="80"/>
              <w:bottom w:type="dxa" w:w="40"/>
              <w:right w:type="dxa" w:w="80"/>
            </w:tcMar>
          </w:tcPr>
          <w:p>
            <w:r>
              <w:rPr>
                <w:rFonts w:ascii="Calibri" w:cs="Calibri" w:eastAsia="Calibri" w:hAnsi="Calibri"/>
                <w:b/>
                <w:bCs/>
                <w:color w:val="FFFFFF"/>
                <w:sz w:val="20"/>
                <w:szCs w:val="20"/>
              </w:rPr>
              <w:t xml:space="preserve">Source</w:t>
            </w:r>
          </w:p>
        </w:tc>
        <w:tc>
          <w:tcPr>
            <w:tcW w:type="pct" w:w="15%"/>
            <w:shd w:fill="1B3A6B" w:val="clear"/>
            <w:tcMar>
              <w:top w:type="dxa" w:w="40"/>
              <w:left w:type="dxa" w:w="80"/>
              <w:bottom w:type="dxa" w:w="40"/>
              <w:right w:type="dxa" w:w="80"/>
            </w:tcMar>
          </w:tcPr>
          <w:p>
            <w:r>
              <w:rPr>
                <w:rFonts w:ascii="Calibri" w:cs="Calibri" w:eastAsia="Calibri" w:hAnsi="Calibri"/>
                <w:b/>
                <w:bCs/>
                <w:color w:val="FFFFFF"/>
                <w:sz w:val="20"/>
                <w:szCs w:val="20"/>
              </w:rPr>
              <w:t xml:space="preserve">Statut</w:t>
            </w:r>
          </w:p>
        </w:tc>
        <w:tc>
          <w:tcPr>
            <w:tcW w:type="pct" w:w="30%"/>
            <w:shd w:fill="1B3A6B" w:val="clear"/>
            <w:tcMar>
              <w:top w:type="dxa" w:w="40"/>
              <w:left w:type="dxa" w:w="80"/>
              <w:bottom w:type="dxa" w:w="40"/>
              <w:right w:type="dxa" w:w="80"/>
            </w:tcMar>
          </w:tcPr>
          <w:p>
            <w:r>
              <w:rPr>
                <w:rFonts w:ascii="Calibri" w:cs="Calibri" w:eastAsia="Calibri" w:hAnsi="Calibri"/>
                <w:b/>
                <w:bCs/>
                <w:color w:val="FFFFFF"/>
                <w:sz w:val="20"/>
                <w:szCs w:val="20"/>
              </w:rPr>
              <w:t xml:space="preserve">Accès</w:t>
            </w:r>
          </w:p>
        </w:tc>
      </w:tr>
      <w:tr>
        <w:tc>
          <w:tcPr>
            <w:tcW w:type="pct" w:w="55%"/>
            <w:tcMar>
              <w:top w:type="dxa" w:w="40"/>
              <w:left w:type="dxa" w:w="80"/>
              <w:bottom w:type="dxa" w:w="40"/>
              <w:right w:type="dxa" w:w="80"/>
            </w:tcMar>
          </w:tcPr>
          <w:p>
            <w:hyperlink w:history="1" r:id="rIdsmlsi370z7r2zr4x9tsik">
              <w:r>
                <w:rPr>
                  <w:rFonts w:ascii="Calibri" w:cs="Calibri" w:eastAsia="Calibri" w:hAnsi="Calibri"/>
                  <w:color w:val="1155CC"/>
                  <w:sz w:val="22"/>
                  <w:szCs w:val="22"/>
                  <w:u w:val="single"/>
                </w:rPr>
                <w:t xml:space="preserve">CNSA — Réforme tarifaire SERAFIN-PH</w:t>
              </w:r>
            </w:hyperlink>
          </w:p>
        </w:tc>
        <w:tc>
          <w:tcPr>
            <w:tcW w:type="pct" w:w="15%"/>
            <w:tcMar>
              <w:top w:type="dxa" w:w="40"/>
              <w:left w:type="dxa" w:w="80"/>
              <w:bottom w:type="dxa" w:w="40"/>
              <w:right w:type="dxa" w:w="80"/>
            </w:tcMar>
          </w:tcPr>
          <w:p>
            <w:r>
              <w:rPr>
                <w:rFonts w:ascii="Calibri" w:cs="Calibri" w:eastAsia="Calibri" w:hAnsi="Calibri"/>
                <w:color w:val="1F2937"/>
                <w:sz w:val="20"/>
                <w:szCs w:val="20"/>
              </w:rPr>
              <w:t xml:space="preserve">✅</w:t>
            </w:r>
          </w:p>
        </w:tc>
        <w:tc>
          <w:tcPr>
            <w:tcW w:type="pct" w:w="30%"/>
            <w:tcMar>
              <w:top w:type="dxa" w:w="40"/>
              <w:left w:type="dxa" w:w="80"/>
              <w:bottom w:type="dxa" w:w="40"/>
              <w:right w:type="dxa" w:w="80"/>
            </w:tcMar>
          </w:tcPr>
          <w:p>
            <w:r>
              <w:rPr>
                <w:rFonts w:ascii="Calibri" w:cs="Calibri" w:eastAsia="Calibri" w:hAnsi="Calibri"/>
                <w:color w:val="1F2937"/>
                <w:sz w:val="20"/>
                <w:szCs w:val="20"/>
              </w:rPr>
              <w:t xml:space="preserve">WebFetch/WebSearch</w:t>
            </w:r>
          </w:p>
        </w:tc>
      </w:tr>
      <w:tr>
        <w:tc>
          <w:tcPr>
            <w:tcW w:type="pct" w:w="55%"/>
            <w:shd w:fill="EEF2F7" w:val="clear"/>
            <w:tcMar>
              <w:top w:type="dxa" w:w="40"/>
              <w:left w:type="dxa" w:w="80"/>
              <w:bottom w:type="dxa" w:w="40"/>
              <w:right w:type="dxa" w:w="80"/>
            </w:tcMar>
          </w:tcPr>
          <w:p>
            <w:hyperlink w:history="1" r:id="rIdq2d6dwkk8deidqmrotnw5">
              <w:r>
                <w:rPr>
                  <w:rFonts w:ascii="Calibri" w:cs="Calibri" w:eastAsia="Calibri" w:hAnsi="Calibri"/>
                  <w:color w:val="1155CC"/>
                  <w:sz w:val="22"/>
                  <w:szCs w:val="22"/>
                  <w:u w:val="single"/>
                </w:rPr>
                <w:t xml:space="preserve">CNSA — Recueil PH 2026 (actualité)</w:t>
              </w:r>
            </w:hyperlink>
          </w:p>
        </w:tc>
        <w:tc>
          <w:tcPr>
            <w:tcW w:type="pct" w:w="15%"/>
            <w:shd w:fill="EEF2F7" w:val="clear"/>
            <w:tcMar>
              <w:top w:type="dxa" w:w="40"/>
              <w:left w:type="dxa" w:w="80"/>
              <w:bottom w:type="dxa" w:w="40"/>
              <w:right w:type="dxa" w:w="80"/>
            </w:tcMar>
          </w:tcPr>
          <w:p>
            <w:r>
              <w:rPr>
                <w:rFonts w:ascii="Calibri" w:cs="Calibri" w:eastAsia="Calibri" w:hAnsi="Calibri"/>
                <w:color w:val="1F2937"/>
                <w:sz w:val="20"/>
                <w:szCs w:val="20"/>
              </w:rPr>
              <w:t xml:space="preserve">✅</w:t>
            </w:r>
          </w:p>
        </w:tc>
        <w:tc>
          <w:tcPr>
            <w:tcW w:type="pct" w:w="30%"/>
            <w:shd w:fill="EEF2F7" w:val="clear"/>
            <w:tcMar>
              <w:top w:type="dxa" w:w="40"/>
              <w:left w:type="dxa" w:w="80"/>
              <w:bottom w:type="dxa" w:w="40"/>
              <w:right w:type="dxa" w:w="80"/>
            </w:tcMar>
          </w:tcPr>
          <w:p>
            <w:r>
              <w:rPr>
                <w:rFonts w:ascii="Calibri" w:cs="Calibri" w:eastAsia="Calibri" w:hAnsi="Calibri"/>
                <w:color w:val="1F2937"/>
                <w:sz w:val="20"/>
                <w:szCs w:val="20"/>
              </w:rPr>
              <w:t xml:space="preserve">WebSearch</w:t>
            </w:r>
          </w:p>
        </w:tc>
      </w:tr>
      <w:tr>
        <w:tc>
          <w:tcPr>
            <w:tcW w:type="pct" w:w="55%"/>
            <w:tcMar>
              <w:top w:type="dxa" w:w="40"/>
              <w:left w:type="dxa" w:w="80"/>
              <w:bottom w:type="dxa" w:w="40"/>
              <w:right w:type="dxa" w:w="80"/>
            </w:tcMar>
          </w:tcPr>
          <w:p>
            <w:hyperlink w:history="1" r:id="rIdfbad1xw73pgljskf6exr3">
              <w:r>
                <w:rPr>
                  <w:rFonts w:ascii="Calibri" w:cs="Calibri" w:eastAsia="Calibri" w:hAnsi="Calibri"/>
                  <w:color w:val="1155CC"/>
                  <w:sz w:val="22"/>
                  <w:szCs w:val="22"/>
                  <w:u w:val="single"/>
                </w:rPr>
                <w:t xml:space="preserve">handicap.gouv.fr — Comité stratégique SERAFIN-PH</w:t>
              </w:r>
            </w:hyperlink>
          </w:p>
        </w:tc>
        <w:tc>
          <w:tcPr>
            <w:tcW w:type="pct" w:w="15%"/>
            <w:tcMar>
              <w:top w:type="dxa" w:w="40"/>
              <w:left w:type="dxa" w:w="80"/>
              <w:bottom w:type="dxa" w:w="40"/>
              <w:right w:type="dxa" w:w="80"/>
            </w:tcMar>
          </w:tcPr>
          <w:p>
            <w:r>
              <w:rPr>
                <w:rFonts w:ascii="Calibri" w:cs="Calibri" w:eastAsia="Calibri" w:hAnsi="Calibri"/>
                <w:color w:val="1F2937"/>
                <w:sz w:val="20"/>
                <w:szCs w:val="20"/>
              </w:rPr>
              <w:t xml:space="preserve">✅</w:t>
            </w:r>
          </w:p>
        </w:tc>
        <w:tc>
          <w:tcPr>
            <w:tcW w:type="pct" w:w="30%"/>
            <w:tcMar>
              <w:top w:type="dxa" w:w="40"/>
              <w:left w:type="dxa" w:w="80"/>
              <w:bottom w:type="dxa" w:w="40"/>
              <w:right w:type="dxa" w:w="80"/>
            </w:tcMar>
          </w:tcPr>
          <w:p>
            <w:r>
              <w:rPr>
                <w:rFonts w:ascii="Calibri" w:cs="Calibri" w:eastAsia="Calibri" w:hAnsi="Calibri"/>
                <w:color w:val="1F2937"/>
                <w:sz w:val="20"/>
                <w:szCs w:val="20"/>
              </w:rPr>
              <w:t xml:space="preserve">WebSearch</w:t>
            </w:r>
          </w:p>
        </w:tc>
      </w:tr>
      <w:tr>
        <w:tc>
          <w:tcPr>
            <w:tcW w:type="pct" w:w="55%"/>
            <w:shd w:fill="EEF2F7" w:val="clear"/>
            <w:tcMar>
              <w:top w:type="dxa" w:w="40"/>
              <w:left w:type="dxa" w:w="80"/>
              <w:bottom w:type="dxa" w:w="40"/>
              <w:right w:type="dxa" w:w="80"/>
            </w:tcMar>
          </w:tcPr>
          <w:p>
            <w:hyperlink w:history="1" r:id="rId7ijcgysachtvo6va1putd">
              <w:r>
                <w:rPr>
                  <w:rFonts w:ascii="Calibri" w:cs="Calibri" w:eastAsia="Calibri" w:hAnsi="Calibri"/>
                  <w:color w:val="1155CC"/>
                  <w:sz w:val="22"/>
                  <w:szCs w:val="22"/>
                  <w:u w:val="single"/>
                </w:rPr>
                <w:t xml:space="preserve">ATIH — Personnes handicapées / Recueil national PH</w:t>
              </w:r>
            </w:hyperlink>
          </w:p>
        </w:tc>
        <w:tc>
          <w:tcPr>
            <w:tcW w:type="pct" w:w="15%"/>
            <w:shd w:fill="EEF2F7" w:val="clear"/>
            <w:tcMar>
              <w:top w:type="dxa" w:w="40"/>
              <w:left w:type="dxa" w:w="80"/>
              <w:bottom w:type="dxa" w:w="40"/>
              <w:right w:type="dxa" w:w="80"/>
            </w:tcMar>
          </w:tcPr>
          <w:p>
            <w:r>
              <w:rPr>
                <w:rFonts w:ascii="Calibri" w:cs="Calibri" w:eastAsia="Calibri" w:hAnsi="Calibri"/>
                <w:color w:val="1F2937"/>
                <w:sz w:val="20"/>
                <w:szCs w:val="20"/>
              </w:rPr>
              <w:t xml:space="preserve">⚠️</w:t>
            </w:r>
          </w:p>
        </w:tc>
        <w:tc>
          <w:tcPr>
            <w:tcW w:type="pct" w:w="30%"/>
            <w:shd w:fill="EEF2F7" w:val="clear"/>
            <w:tcMar>
              <w:top w:type="dxa" w:w="40"/>
              <w:left w:type="dxa" w:w="80"/>
              <w:bottom w:type="dxa" w:w="40"/>
              <w:right w:type="dxa" w:w="80"/>
            </w:tcMar>
          </w:tcPr>
          <w:p>
            <w:r>
              <w:rPr>
                <w:rFonts w:ascii="Calibri" w:cs="Calibri" w:eastAsia="Calibri" w:hAnsi="Calibri"/>
                <w:color w:val="1F2937"/>
                <w:sz w:val="20"/>
                <w:szCs w:val="20"/>
              </w:rPr>
              <w:t xml:space="preserve">WebSearch (WebFetch 403)</w:t>
            </w:r>
          </w:p>
        </w:tc>
      </w:tr>
    </w:tbl>
    <w:p>
      <w:pPr>
        <w:spacing w:after="120" w:before="240"/>
      </w:pPr>
      <w:r>
        <w:rPr>
          <w:rFonts w:ascii="Calibri" w:cs="Calibri" w:eastAsia="Calibri" w:hAnsi="Calibri"/>
          <w:b/>
          <w:bCs/>
          <w:color w:val="1B3A6B"/>
          <w:sz w:val="28"/>
          <w:szCs w:val="28"/>
        </w:rPr>
        <w:t xml:space="preserve">🔵 En bref — Tableau de bord</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gridCol w:w="100"/>
      </w:tblGrid>
      <w:tr>
        <w:trPr>
          <w:tblHeader/>
        </w:trPr>
        <w:tc>
          <w:tcPr>
            <w:tcW w:type="pct" w:w="55%"/>
            <w:shd w:fill="1B3A6B" w:val="clear"/>
            <w:tcMar>
              <w:top w:type="dxa" w:w="40"/>
              <w:left w:type="dxa" w:w="80"/>
              <w:bottom w:type="dxa" w:w="40"/>
              <w:right w:type="dxa" w:w="80"/>
            </w:tcMar>
          </w:tcPr>
          <w:p>
            <w:r>
              <w:rPr>
                <w:rFonts w:ascii="Calibri" w:cs="Calibri" w:eastAsia="Calibri" w:hAnsi="Calibri"/>
                <w:b/>
                <w:bCs/>
                <w:color w:val="FFFFFF"/>
                <w:sz w:val="20"/>
                <w:szCs w:val="20"/>
              </w:rPr>
              <w:t xml:space="preserve">Thème</w:t>
            </w:r>
          </w:p>
        </w:tc>
        <w:tc>
          <w:tcPr>
            <w:tcW w:type="pct" w:w="20%"/>
            <w:shd w:fill="1B3A6B" w:val="clear"/>
            <w:tcMar>
              <w:top w:type="dxa" w:w="40"/>
              <w:left w:type="dxa" w:w="80"/>
              <w:bottom w:type="dxa" w:w="40"/>
              <w:right w:type="dxa" w:w="80"/>
            </w:tcMar>
          </w:tcPr>
          <w:p>
            <w:r>
              <w:rPr>
                <w:rFonts w:ascii="Calibri" w:cs="Calibri" w:eastAsia="Calibri" w:hAnsi="Calibri"/>
                <w:b/>
                <w:bCs/>
                <w:color w:val="FFFFFF"/>
                <w:sz w:val="20"/>
                <w:szCs w:val="20"/>
              </w:rPr>
              <w:t xml:space="preserve">Statut</w:t>
            </w:r>
          </w:p>
        </w:tc>
        <w:tc>
          <w:tcPr>
            <w:tcW w:type="pct" w:w="25%"/>
            <w:shd w:fill="1B3A6B" w:val="clear"/>
            <w:tcMar>
              <w:top w:type="dxa" w:w="40"/>
              <w:left w:type="dxa" w:w="80"/>
              <w:bottom w:type="dxa" w:w="40"/>
              <w:right w:type="dxa" w:w="80"/>
            </w:tcMar>
          </w:tcPr>
          <w:p>
            <w:r>
              <w:rPr>
                <w:rFonts w:ascii="Calibri" w:cs="Calibri" w:eastAsia="Calibri" w:hAnsi="Calibri"/>
                <w:b/>
                <w:bCs/>
                <w:color w:val="FFFFFF"/>
                <w:sz w:val="20"/>
                <w:szCs w:val="20"/>
              </w:rPr>
              <w:t xml:space="preserve">Échéance</w:t>
            </w:r>
          </w:p>
        </w:tc>
      </w:tr>
      <w:tr>
        <w:tc>
          <w:tcPr>
            <w:tcW w:type="pct" w:w="55%"/>
            <w:tcMar>
              <w:top w:type="dxa" w:w="40"/>
              <w:left w:type="dxa" w:w="80"/>
              <w:bottom w:type="dxa" w:w="40"/>
              <w:right w:type="dxa" w:w="80"/>
            </w:tcMar>
          </w:tcPr>
          <w:p>
            <w:r>
              <w:rPr>
                <w:rFonts w:ascii="Calibri" w:cs="Calibri" w:eastAsia="Calibri" w:hAnsi="Calibri"/>
                <w:color w:val="1F2937"/>
                <w:sz w:val="20"/>
                <w:szCs w:val="20"/>
              </w:rPr>
              <w:t xml:space="preserve">Recueil d'informations « PH 2026 » (secteur enfance)</w:t>
            </w:r>
          </w:p>
        </w:tc>
        <w:tc>
          <w:tcPr>
            <w:tcW w:type="pct" w:w="20%"/>
            <w:tcMar>
              <w:top w:type="dxa" w:w="40"/>
              <w:left w:type="dxa" w:w="80"/>
              <w:bottom w:type="dxa" w:w="40"/>
              <w:right w:type="dxa" w:w="80"/>
            </w:tcMar>
          </w:tcPr>
          <w:p>
            <w:r>
              <w:rPr>
                <w:rFonts w:ascii="Calibri" w:cs="Calibri" w:eastAsia="Calibri" w:hAnsi="Calibri"/>
                <w:color w:val="1F2937"/>
                <w:sz w:val="20"/>
                <w:szCs w:val="20"/>
              </w:rPr>
              <w:t xml:space="preserve">En cours</w:t>
            </w:r>
          </w:p>
        </w:tc>
        <w:tc>
          <w:tcPr>
            <w:tcW w:type="pct" w:w="25%"/>
            <w:tcMar>
              <w:top w:type="dxa" w:w="40"/>
              <w:left w:type="dxa" w:w="80"/>
              <w:bottom w:type="dxa" w:w="40"/>
              <w:right w:type="dxa" w:w="80"/>
            </w:tcMar>
          </w:tcPr>
          <w:p>
            <w:r>
              <w:rPr>
                <w:rFonts w:ascii="Calibri" w:cs="Calibri" w:eastAsia="Calibri" w:hAnsi="Calibri"/>
                <w:color w:val="1F2937"/>
                <w:sz w:val="20"/>
                <w:szCs w:val="20"/>
              </w:rPr>
              <w:t xml:space="preserve">Phases mars &amp; mai 2026</w:t>
            </w:r>
          </w:p>
        </w:tc>
      </w:tr>
      <w:tr>
        <w:tc>
          <w:tcPr>
            <w:tcW w:type="pct" w:w="55%"/>
            <w:shd w:fill="EEF2F7" w:val="clear"/>
            <w:tcMar>
              <w:top w:type="dxa" w:w="40"/>
              <w:left w:type="dxa" w:w="80"/>
              <w:bottom w:type="dxa" w:w="40"/>
              <w:right w:type="dxa" w:w="80"/>
            </w:tcMar>
          </w:tcPr>
          <w:p>
            <w:r>
              <w:rPr>
                <w:rFonts w:ascii="Calibri" w:cs="Calibri" w:eastAsia="Calibri" w:hAnsi="Calibri"/>
                <w:color w:val="1F2937"/>
                <w:sz w:val="20"/>
                <w:szCs w:val="20"/>
              </w:rPr>
              <w:t xml:space="preserve">Application de recueil SIDOBA (SI autonomie CNSA)</w:t>
            </w:r>
          </w:p>
        </w:tc>
        <w:tc>
          <w:tcPr>
            <w:tcW w:type="pct" w:w="20%"/>
            <w:shd w:fill="EEF2F7" w:val="clear"/>
            <w:tcMar>
              <w:top w:type="dxa" w:w="40"/>
              <w:left w:type="dxa" w:w="80"/>
              <w:bottom w:type="dxa" w:w="40"/>
              <w:right w:type="dxa" w:w="80"/>
            </w:tcMar>
          </w:tcPr>
          <w:p>
            <w:r>
              <w:rPr>
                <w:rFonts w:ascii="Calibri" w:cs="Calibri" w:eastAsia="Calibri" w:hAnsi="Calibri"/>
                <w:color w:val="1F2937"/>
                <w:sz w:val="20"/>
                <w:szCs w:val="20"/>
              </w:rPr>
              <w:t xml:space="preserve">En développement</w:t>
            </w:r>
          </w:p>
        </w:tc>
        <w:tc>
          <w:tcPr>
            <w:tcW w:type="pct" w:w="25%"/>
            <w:shd w:fill="EEF2F7" w:val="clear"/>
            <w:tcMar>
              <w:top w:type="dxa" w:w="40"/>
              <w:left w:type="dxa" w:w="80"/>
              <w:bottom w:type="dxa" w:w="40"/>
              <w:right w:type="dxa" w:w="80"/>
            </w:tcMar>
          </w:tcPr>
          <w:p>
            <w:r>
              <w:rPr>
                <w:rFonts w:ascii="Calibri" w:cs="Calibri" w:eastAsia="Calibri" w:hAnsi="Calibri"/>
                <w:color w:val="1F2937"/>
                <w:sz w:val="20"/>
                <w:szCs w:val="20"/>
              </w:rPr>
              <w:t xml:space="preserve">2026</w:t>
            </w:r>
          </w:p>
        </w:tc>
      </w:tr>
      <w:tr>
        <w:tc>
          <w:tcPr>
            <w:tcW w:type="pct" w:w="55%"/>
            <w:tcMar>
              <w:top w:type="dxa" w:w="40"/>
              <w:left w:type="dxa" w:w="80"/>
              <w:bottom w:type="dxa" w:w="40"/>
              <w:right w:type="dxa" w:w="80"/>
            </w:tcMar>
          </w:tcPr>
          <w:p>
            <w:r>
              <w:rPr>
                <w:rFonts w:ascii="Calibri" w:cs="Calibri" w:eastAsia="Calibri" w:hAnsi="Calibri"/>
                <w:color w:val="1F2937"/>
                <w:sz w:val="20"/>
                <w:szCs w:val="20"/>
              </w:rPr>
              <w:t xml:space="preserve">Travaux de simulation &amp; calibrage du modèle</w:t>
            </w:r>
          </w:p>
        </w:tc>
        <w:tc>
          <w:tcPr>
            <w:tcW w:type="pct" w:w="20%"/>
            <w:tcMar>
              <w:top w:type="dxa" w:w="40"/>
              <w:left w:type="dxa" w:w="80"/>
              <w:bottom w:type="dxa" w:w="40"/>
              <w:right w:type="dxa" w:w="80"/>
            </w:tcMar>
          </w:tcPr>
          <w:p>
            <w:r>
              <w:rPr>
                <w:rFonts w:ascii="Calibri" w:cs="Calibri" w:eastAsia="Calibri" w:hAnsi="Calibri"/>
                <w:color w:val="1F2937"/>
                <w:sz w:val="20"/>
                <w:szCs w:val="20"/>
              </w:rPr>
              <w:t xml:space="preserve">Finalisation</w:t>
            </w:r>
          </w:p>
        </w:tc>
        <w:tc>
          <w:tcPr>
            <w:tcW w:type="pct" w:w="25%"/>
            <w:tcMar>
              <w:top w:type="dxa" w:w="40"/>
              <w:left w:type="dxa" w:w="80"/>
              <w:bottom w:type="dxa" w:w="40"/>
              <w:right w:type="dxa" w:w="80"/>
            </w:tcMar>
          </w:tcPr>
          <w:p>
            <w:r>
              <w:rPr>
                <w:rFonts w:ascii="Calibri" w:cs="Calibri" w:eastAsia="Calibri" w:hAnsi="Calibri"/>
                <w:color w:val="1F2937"/>
                <w:sz w:val="20"/>
                <w:szCs w:val="20"/>
              </w:rPr>
              <w:t xml:space="preserve">2026</w:t>
            </w:r>
          </w:p>
        </w:tc>
      </w:tr>
      <w:tr>
        <w:tc>
          <w:tcPr>
            <w:tcW w:type="pct" w:w="55%"/>
            <w:shd w:fill="EEF2F7" w:val="clear"/>
            <w:tcMar>
              <w:top w:type="dxa" w:w="40"/>
              <w:left w:type="dxa" w:w="80"/>
              <w:bottom w:type="dxa" w:w="40"/>
              <w:right w:type="dxa" w:w="80"/>
            </w:tcMar>
          </w:tcPr>
          <w:p>
            <w:r>
              <w:rPr>
                <w:rFonts w:ascii="Calibri" w:cs="Calibri" w:eastAsia="Calibri" w:hAnsi="Calibri"/>
                <w:color w:val="1F2937"/>
                <w:sz w:val="20"/>
                <w:szCs w:val="20"/>
              </w:rPr>
              <w:t xml:space="preserve">Notification de la dotation théorique aux ESMS</w:t>
            </w:r>
          </w:p>
        </w:tc>
        <w:tc>
          <w:tcPr>
            <w:tcW w:type="pct" w:w="20%"/>
            <w:shd w:fill="EEF2F7" w:val="clear"/>
            <w:tcMar>
              <w:top w:type="dxa" w:w="40"/>
              <w:left w:type="dxa" w:w="80"/>
              <w:bottom w:type="dxa" w:w="40"/>
              <w:right w:type="dxa" w:w="80"/>
            </w:tcMar>
          </w:tcPr>
          <w:p>
            <w:r>
              <w:rPr>
                <w:rFonts w:ascii="Calibri" w:cs="Calibri" w:eastAsia="Calibri" w:hAnsi="Calibri"/>
                <w:color w:val="1F2937"/>
                <w:sz w:val="20"/>
                <w:szCs w:val="20"/>
              </w:rPr>
              <w:t xml:space="preserve">À venir</w:t>
            </w:r>
          </w:p>
        </w:tc>
        <w:tc>
          <w:tcPr>
            <w:tcW w:type="pct" w:w="25%"/>
            <w:shd w:fill="EEF2F7" w:val="clear"/>
            <w:tcMar>
              <w:top w:type="dxa" w:w="40"/>
              <w:left w:type="dxa" w:w="80"/>
              <w:bottom w:type="dxa" w:w="40"/>
              <w:right w:type="dxa" w:w="80"/>
            </w:tcMar>
          </w:tcPr>
          <w:p>
            <w:r>
              <w:rPr>
                <w:rFonts w:ascii="Calibri" w:cs="Calibri" w:eastAsia="Calibri" w:hAnsi="Calibri"/>
                <w:color w:val="1F2937"/>
                <w:sz w:val="20"/>
                <w:szCs w:val="20"/>
              </w:rPr>
              <w:t xml:space="preserve">Automne 2026</w:t>
            </w:r>
          </w:p>
        </w:tc>
      </w:tr>
      <w:tr>
        <w:tc>
          <w:tcPr>
            <w:tcW w:type="pct" w:w="55%"/>
            <w:tcMar>
              <w:top w:type="dxa" w:w="40"/>
              <w:left w:type="dxa" w:w="80"/>
              <w:bottom w:type="dxa" w:w="40"/>
              <w:right w:type="dxa" w:w="80"/>
            </w:tcMar>
          </w:tcPr>
          <w:p>
            <w:r>
              <w:rPr>
                <w:rFonts w:ascii="Calibri" w:cs="Calibri" w:eastAsia="Calibri" w:hAnsi="Calibri"/>
                <w:color w:val="1F2937"/>
                <w:sz w:val="20"/>
                <w:szCs w:val="20"/>
              </w:rPr>
              <w:t xml:space="preserve">Déploiement du modèle de financement (enfance)</w:t>
            </w:r>
          </w:p>
        </w:tc>
        <w:tc>
          <w:tcPr>
            <w:tcW w:type="pct" w:w="20%"/>
            <w:tcMar>
              <w:top w:type="dxa" w:w="40"/>
              <w:left w:type="dxa" w:w="80"/>
              <w:bottom w:type="dxa" w:w="40"/>
              <w:right w:type="dxa" w:w="80"/>
            </w:tcMar>
          </w:tcPr>
          <w:p>
            <w:r>
              <w:rPr>
                <w:rFonts w:ascii="Calibri" w:cs="Calibri" w:eastAsia="Calibri" w:hAnsi="Calibri"/>
                <w:color w:val="1F2937"/>
                <w:sz w:val="20"/>
                <w:szCs w:val="20"/>
              </w:rPr>
              <w:t xml:space="preserve">Programmé</w:t>
            </w:r>
          </w:p>
        </w:tc>
        <w:tc>
          <w:tcPr>
            <w:tcW w:type="pct" w:w="25%"/>
            <w:tcMar>
              <w:top w:type="dxa" w:w="40"/>
              <w:left w:type="dxa" w:w="80"/>
              <w:bottom w:type="dxa" w:w="40"/>
              <w:right w:type="dxa" w:w="80"/>
            </w:tcMar>
          </w:tcPr>
          <w:p>
            <w:r>
              <w:rPr>
                <w:rFonts w:ascii="Calibri" w:cs="Calibri" w:eastAsia="Calibri" w:hAnsi="Calibri"/>
                <w:color w:val="1F2937"/>
                <w:sz w:val="20"/>
                <w:szCs w:val="20"/>
              </w:rPr>
              <w:t xml:space="preserve">À partir de 2027 (sur 8 ans)</w:t>
            </w:r>
          </w:p>
        </w:tc>
      </w:tr>
    </w:tbl>
    <w:p>
      <w:pPr>
        <w:spacing w:after="120" w:before="240"/>
      </w:pPr>
      <w:r>
        <w:rPr>
          <w:rFonts w:ascii="Calibri" w:cs="Calibri" w:eastAsia="Calibri" w:hAnsi="Calibri"/>
          <w:b/>
          <w:bCs/>
          <w:color w:val="1B3A6B"/>
          <w:sz w:val="28"/>
          <w:szCs w:val="28"/>
        </w:rPr>
        <w:t xml:space="preserve">Actualités de la semaine</w:t>
      </w:r>
    </w:p>
    <w:p>
      <w:pPr>
        <w:spacing w:after="100"/>
      </w:pPr>
      <w:r>
        <w:rPr>
          <w:rFonts w:ascii="Calibri" w:cs="Calibri" w:eastAsia="Calibri" w:hAnsi="Calibri"/>
          <w:b/>
          <w:bCs/>
          <w:color w:val="1F2937"/>
          <w:sz w:val="22"/>
          <w:szCs w:val="22"/>
        </w:rPr>
        <w:t xml:space="preserve">Recueil « PH 2026 » — une collecte ciblée qui préfigure le régime annuel. </w:t>
      </w:r>
      <w:r>
        <w:rPr>
          <w:rFonts w:ascii="Calibri" w:cs="Calibri" w:eastAsia="Calibri" w:hAnsi="Calibri"/>
          <w:b w:val="false"/>
          <w:bCs w:val="false"/>
          <w:color w:val="1F2937"/>
          <w:sz w:val="22"/>
          <w:szCs w:val="22"/>
        </w:rPr>
        <w:t xml:space="preserve">À la différence de la collecte du printemps 2025 (qui visait la phase finale de conception du modèle), le recueil PH 2026 adopte une approche ciblée et préfigure les collectes annuelles qui financeront les structures à partir de 2027. Deux phases : vers mars 2026 (caractéristiques des places) ; vers mai 2026 (indicateurs de modulation de l'activité — une dizaine de variables — et de dotation complémentaire — six variables).</w:t>
      </w:r>
    </w:p>
    <w:p>
      <w:pPr>
        <w:spacing w:after="100"/>
      </w:pPr>
      <w:r>
        <w:rPr>
          <w:rFonts w:ascii="Calibri" w:cs="Calibri" w:eastAsia="Calibri" w:hAnsi="Calibri"/>
          <w:b/>
          <w:bCs/>
          <w:color w:val="1F2937"/>
          <w:sz w:val="22"/>
          <w:szCs w:val="22"/>
        </w:rPr>
        <w:t xml:space="preserve">Outil technique : SIDOBA. </w:t>
      </w:r>
      <w:r>
        <w:rPr>
          <w:rFonts w:ascii="Calibri" w:cs="Calibri" w:eastAsia="Calibri" w:hAnsi="Calibri"/>
          <w:b w:val="false"/>
          <w:bCs w:val="false"/>
          <w:color w:val="1F2937"/>
          <w:sz w:val="22"/>
          <w:szCs w:val="22"/>
        </w:rPr>
        <w:t xml:space="preserve">La collecte s'appuie sur une application dédiée en cours de développement dans le système d'information du champ de l'autonomie de la CNSA (SIDOBA).</w:t>
      </w:r>
    </w:p>
    <w:p>
      <w:pPr>
        <w:spacing w:after="100"/>
      </w:pPr>
      <w:r>
        <w:rPr>
          <w:rFonts w:ascii="Calibri" w:cs="Calibri" w:eastAsia="Calibri" w:hAnsi="Calibri"/>
          <w:b/>
          <w:bCs/>
          <w:color w:val="1F2937"/>
          <w:sz w:val="22"/>
          <w:szCs w:val="22"/>
        </w:rPr>
        <w:t xml:space="preserve">2026, année de consolidation. </w:t>
      </w:r>
      <w:r>
        <w:rPr>
          <w:rFonts w:ascii="Calibri" w:cs="Calibri" w:eastAsia="Calibri" w:hAnsi="Calibri"/>
          <w:b w:val="false"/>
          <w:bCs w:val="false"/>
          <w:color w:val="1F2937"/>
          <w:sz w:val="22"/>
          <w:szCs w:val="22"/>
        </w:rPr>
        <w:t xml:space="preserve">Les équipes CNSA, DGCS et ATIH finalisent les travaux de simulation pour garantir la robustesse du modèle et arrêter l'ensemble des paramètres. D'ici l'automne 2026, chaque ESMS connaîtra sa dotation théorique et son évolution prévisible dans le cadre de la réforme.</w:t>
      </w:r>
    </w:p>
    <w:p>
      <w:pPr>
        <w:spacing w:after="100"/>
      </w:pPr>
      <w:r>
        <w:rPr>
          <w:rFonts w:ascii="Calibri" w:cs="Calibri" w:eastAsia="Calibri" w:hAnsi="Calibri"/>
          <w:b/>
          <w:bCs/>
          <w:color w:val="1F2937"/>
          <w:sz w:val="22"/>
          <w:szCs w:val="22"/>
        </w:rPr>
        <w:t xml:space="preserve">Agenda institutionnel. </w:t>
      </w:r>
      <w:r>
        <w:rPr>
          <w:rFonts w:ascii="Calibri" w:cs="Calibri" w:eastAsia="Calibri" w:hAnsi="Calibri"/>
          <w:b w:val="false"/>
          <w:bCs w:val="false"/>
          <w:color w:val="1F2937"/>
          <w:sz w:val="22"/>
          <w:szCs w:val="22"/>
        </w:rPr>
        <w:t xml:space="preserve">La réforme tarifaire SERAFIN-PH a fait l'objet d'une conférence dédiée lors de SantExpo (19-21 mai 2026, Paris).</w:t>
      </w:r>
    </w:p>
    <w:p>
      <w:pPr>
        <w:spacing w:after="100"/>
      </w:pPr>
      <w:r>
        <w:rPr>
          <w:rFonts w:ascii="Calibri" w:cs="Calibri" w:eastAsia="Calibri" w:hAnsi="Calibri"/>
          <w:i/>
          <w:iCs/>
          <w:color w:val="1F2937"/>
          <w:sz w:val="20"/>
          <w:szCs w:val="20"/>
        </w:rPr>
        <w:t xml:space="preserve">⚠️ Source ATIH : le recueil national PH (guides méthodologiques, campagne en vigueur) reste la référence technique opérationnelle, mais WebFetch est bloqué (403) sur atih.sante.fr ; données confirmées via WebSearch. À revérifier directement pour la campagne enfance en cours.</w:t>
      </w:r>
    </w:p>
    <w:p>
      <w:pPr>
        <w:spacing w:after="120" w:before="240"/>
      </w:pPr>
      <w:r>
        <w:rPr>
          <w:rFonts w:ascii="Calibri" w:cs="Calibri" w:eastAsia="Calibri" w:hAnsi="Calibri"/>
          <w:b/>
          <w:bCs/>
          <w:color w:val="1B3A6B"/>
          <w:sz w:val="28"/>
          <w:szCs w:val="28"/>
        </w:rPr>
        <w:t xml:space="preserve">⚠️ Points de vigilance pour les directions d'ESSMS</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30%"/>
            <w:shd w:fill="1B3A6B" w:val="clear"/>
            <w:tcMar>
              <w:top w:type="dxa" w:w="40"/>
              <w:left w:type="dxa" w:w="80"/>
              <w:bottom w:type="dxa" w:w="40"/>
              <w:right w:type="dxa" w:w="80"/>
            </w:tcMar>
          </w:tcPr>
          <w:p>
            <w:r>
              <w:rPr>
                <w:rFonts w:ascii="Calibri" w:cs="Calibri" w:eastAsia="Calibri" w:hAnsi="Calibri"/>
                <w:b/>
                <w:bCs/>
                <w:color w:val="FFFFFF"/>
                <w:sz w:val="20"/>
                <w:szCs w:val="20"/>
              </w:rPr>
              <w:t xml:space="preserve">Point</w:t>
            </w:r>
          </w:p>
        </w:tc>
        <w:tc>
          <w:tcPr>
            <w:tcW w:type="pct" w:w="70%"/>
            <w:shd w:fill="1B3A6B" w:val="clear"/>
            <w:tcMar>
              <w:top w:type="dxa" w:w="40"/>
              <w:left w:type="dxa" w:w="80"/>
              <w:bottom w:type="dxa" w:w="40"/>
              <w:right w:type="dxa" w:w="80"/>
            </w:tcMar>
          </w:tcPr>
          <w:p>
            <w:r>
              <w:rPr>
                <w:rFonts w:ascii="Calibri" w:cs="Calibri" w:eastAsia="Calibri" w:hAnsi="Calibri"/>
                <w:b/>
                <w:bCs/>
                <w:color w:val="FFFFFF"/>
                <w:sz w:val="20"/>
                <w:szCs w:val="20"/>
              </w:rPr>
              <w:t xml:space="preserve">Détail pratique</w:t>
            </w:r>
          </w:p>
        </w:tc>
      </w:tr>
      <w:tr>
        <w:tc>
          <w:tcPr>
            <w:tcW w:type="pct" w:w="30%"/>
            <w:tcMar>
              <w:top w:type="dxa" w:w="40"/>
              <w:left w:type="dxa" w:w="80"/>
              <w:bottom w:type="dxa" w:w="40"/>
              <w:right w:type="dxa" w:w="80"/>
            </w:tcMar>
          </w:tcPr>
          <w:p>
            <w:r>
              <w:rPr>
                <w:rFonts w:ascii="Calibri" w:cs="Calibri" w:eastAsia="Calibri" w:hAnsi="Calibri"/>
                <w:color w:val="1F2937"/>
                <w:sz w:val="20"/>
                <w:szCs w:val="20"/>
              </w:rPr>
              <w:t xml:space="preserve">Qualité du recueil PH 2026</w:t>
            </w:r>
          </w:p>
        </w:tc>
        <w:tc>
          <w:tcPr>
            <w:tcW w:type="pct" w:w="70%"/>
            <w:tcMar>
              <w:top w:type="dxa" w:w="40"/>
              <w:left w:type="dxa" w:w="80"/>
              <w:bottom w:type="dxa" w:w="40"/>
              <w:right w:type="dxa" w:w="80"/>
            </w:tcMar>
          </w:tcPr>
          <w:p>
            <w:r>
              <w:rPr>
                <w:rFonts w:ascii="Calibri" w:cs="Calibri" w:eastAsia="Calibri" w:hAnsi="Calibri"/>
                <w:color w:val="1F2937"/>
                <w:sz w:val="20"/>
                <w:szCs w:val="20"/>
              </w:rPr>
              <w:t xml:space="preserve">La dotation théorique de l'automne dépendra de la fiabilité des données saisies (caractéristiques des places, indicateurs d'activité). Fiabiliser dès maintenant les données d'activité et de public.</w:t>
            </w:r>
          </w:p>
        </w:tc>
      </w:tr>
      <w:tr>
        <w:tc>
          <w:tcPr>
            <w:tcW w:type="pct" w:w="30%"/>
            <w:shd w:fill="EEF2F7" w:val="clear"/>
            <w:tcMar>
              <w:top w:type="dxa" w:w="40"/>
              <w:left w:type="dxa" w:w="80"/>
              <w:bottom w:type="dxa" w:w="40"/>
              <w:right w:type="dxa" w:w="80"/>
            </w:tcMar>
          </w:tcPr>
          <w:p>
            <w:r>
              <w:rPr>
                <w:rFonts w:ascii="Calibri" w:cs="Calibri" w:eastAsia="Calibri" w:hAnsi="Calibri"/>
                <w:color w:val="1F2937"/>
                <w:sz w:val="20"/>
                <w:szCs w:val="20"/>
              </w:rPr>
              <w:t xml:space="preserve">Secteur enfance en première ligne</w:t>
            </w:r>
          </w:p>
        </w:tc>
        <w:tc>
          <w:tcPr>
            <w:tcW w:type="pct" w:w="70%"/>
            <w:shd w:fill="EEF2F7" w:val="clear"/>
            <w:tcMar>
              <w:top w:type="dxa" w:w="40"/>
              <w:left w:type="dxa" w:w="80"/>
              <w:bottom w:type="dxa" w:w="40"/>
              <w:right w:type="dxa" w:w="80"/>
            </w:tcMar>
          </w:tcPr>
          <w:p>
            <w:r>
              <w:rPr>
                <w:rFonts w:ascii="Calibri" w:cs="Calibri" w:eastAsia="Calibri" w:hAnsi="Calibri"/>
                <w:color w:val="1F2937"/>
                <w:sz w:val="20"/>
                <w:szCs w:val="20"/>
              </w:rPr>
              <w:t xml:space="preserve">Le déploiement 2027 concerne d'abord les ESMS accompagnant enfants et jeunes adultes. Les structures adultes doivent suivre sans être prioritaires.</w:t>
            </w:r>
          </w:p>
        </w:tc>
      </w:tr>
      <w:tr>
        <w:tc>
          <w:tcPr>
            <w:tcW w:type="pct" w:w="30%"/>
            <w:tcMar>
              <w:top w:type="dxa" w:w="40"/>
              <w:left w:type="dxa" w:w="80"/>
              <w:bottom w:type="dxa" w:w="40"/>
              <w:right w:type="dxa" w:w="80"/>
            </w:tcMar>
          </w:tcPr>
          <w:p>
            <w:r>
              <w:rPr>
                <w:rFonts w:ascii="Calibri" w:cs="Calibri" w:eastAsia="Calibri" w:hAnsi="Calibri"/>
                <w:color w:val="1F2937"/>
                <w:sz w:val="20"/>
                <w:szCs w:val="20"/>
              </w:rPr>
              <w:t xml:space="preserve">Appropriation des nomenclatures</w:t>
            </w:r>
          </w:p>
        </w:tc>
        <w:tc>
          <w:tcPr>
            <w:tcW w:type="pct" w:w="70%"/>
            <w:tcMar>
              <w:top w:type="dxa" w:w="40"/>
              <w:left w:type="dxa" w:w="80"/>
              <w:bottom w:type="dxa" w:w="40"/>
              <w:right w:type="dxa" w:w="80"/>
            </w:tcMar>
          </w:tcPr>
          <w:p>
            <w:r>
              <w:rPr>
                <w:rFonts w:ascii="Calibri" w:cs="Calibri" w:eastAsia="Calibri" w:hAnsi="Calibri"/>
                <w:color w:val="1F2937"/>
                <w:sz w:val="20"/>
                <w:szCs w:val="20"/>
              </w:rPr>
              <w:t xml:space="preserve">Les nomenclatures besoins/prestations SERAFIN-PH structurent le modèle : cohérence à assurer avec le projet d'établissement et le DUI (Imago).</w:t>
            </w:r>
          </w:p>
        </w:tc>
      </w:tr>
      <w:tr>
        <w:tc>
          <w:tcPr>
            <w:tcW w:type="pct" w:w="30%"/>
            <w:shd w:fill="EEF2F7" w:val="clear"/>
            <w:tcMar>
              <w:top w:type="dxa" w:w="40"/>
              <w:left w:type="dxa" w:w="80"/>
              <w:bottom w:type="dxa" w:w="40"/>
              <w:right w:type="dxa" w:w="80"/>
            </w:tcMar>
          </w:tcPr>
          <w:p>
            <w:r>
              <w:rPr>
                <w:rFonts w:ascii="Calibri" w:cs="Calibri" w:eastAsia="Calibri" w:hAnsi="Calibri"/>
                <w:color w:val="1F2937"/>
                <w:sz w:val="20"/>
                <w:szCs w:val="20"/>
              </w:rPr>
              <w:t xml:space="preserve">Montée en compétence SIDOBA</w:t>
            </w:r>
          </w:p>
        </w:tc>
        <w:tc>
          <w:tcPr>
            <w:tcW w:type="pct" w:w="70%"/>
            <w:shd w:fill="EEF2F7" w:val="clear"/>
            <w:tcMar>
              <w:top w:type="dxa" w:w="40"/>
              <w:left w:type="dxa" w:w="80"/>
              <w:bottom w:type="dxa" w:w="40"/>
              <w:right w:type="dxa" w:w="80"/>
            </w:tcMar>
          </w:tcPr>
          <w:p>
            <w:r>
              <w:rPr>
                <w:rFonts w:ascii="Calibri" w:cs="Calibri" w:eastAsia="Calibri" w:hAnsi="Calibri"/>
                <w:color w:val="1F2937"/>
                <w:sz w:val="20"/>
                <w:szCs w:val="20"/>
              </w:rPr>
              <w:t xml:space="preserve">Identifier les référents qui manipuleront l'application de recueil ; anticiper les habilitations et la formation.</w:t>
            </w:r>
          </w:p>
        </w:tc>
      </w:tr>
      <w:tr>
        <w:tc>
          <w:tcPr>
            <w:tcW w:type="pct" w:w="30%"/>
            <w:tcMar>
              <w:top w:type="dxa" w:w="40"/>
              <w:left w:type="dxa" w:w="80"/>
              <w:bottom w:type="dxa" w:w="40"/>
              <w:right w:type="dxa" w:w="80"/>
            </w:tcMar>
          </w:tcPr>
          <w:p>
            <w:r>
              <w:rPr>
                <w:rFonts w:ascii="Calibri" w:cs="Calibri" w:eastAsia="Calibri" w:hAnsi="Calibri"/>
                <w:color w:val="1F2937"/>
                <w:sz w:val="20"/>
                <w:szCs w:val="20"/>
              </w:rPr>
              <w:t xml:space="preserve">Lecture de la dotation théorique</w:t>
            </w:r>
          </w:p>
        </w:tc>
        <w:tc>
          <w:tcPr>
            <w:tcW w:type="pct" w:w="70%"/>
            <w:tcMar>
              <w:top w:type="dxa" w:w="40"/>
              <w:left w:type="dxa" w:w="80"/>
              <w:bottom w:type="dxa" w:w="40"/>
              <w:right w:type="dxa" w:w="80"/>
            </w:tcMar>
          </w:tcPr>
          <w:p>
            <w:r>
              <w:rPr>
                <w:rFonts w:ascii="Calibri" w:cs="Calibri" w:eastAsia="Calibri" w:hAnsi="Calibri"/>
                <w:color w:val="1F2937"/>
                <w:sz w:val="20"/>
                <w:szCs w:val="20"/>
              </w:rPr>
              <w:t xml:space="preserve">À l'automne 2026, analyser l'écart dotation théorique / financement actuel et préparer l'argumentaire de dialogue de gestion (CPOM/ARS).</w:t>
            </w:r>
          </w:p>
        </w:tc>
      </w:tr>
    </w:tbl>
    <w:p>
      <w:pPr>
        <w:spacing w:after="120" w:before="240"/>
      </w:pPr>
      <w:r>
        <w:rPr>
          <w:rFonts w:ascii="Calibri" w:cs="Calibri" w:eastAsia="Calibri" w:hAnsi="Calibri"/>
          <w:b/>
          <w:bCs/>
          <w:color w:val="1B3A6B"/>
          <w:sz w:val="28"/>
          <w:szCs w:val="28"/>
        </w:rPr>
        <w:t xml:space="preserve">Agenda — Prochains rendez-vous</w:t>
      </w:r>
    </w:p>
    <w:p>
      <w:pPr>
        <w:spacing w:after="100"/>
      </w:pPr>
      <w:r>
        <w:rPr>
          <w:rFonts w:ascii="Calibri" w:cs="Calibri" w:eastAsia="Calibri" w:hAnsi="Calibri"/>
          <w:b/>
          <w:bCs/>
          <w:color w:val="1B3A6B"/>
          <w:sz w:val="22"/>
          <w:szCs w:val="22"/>
        </w:rPr>
        <w:t xml:space="preserve">[ ] </w:t>
      </w:r>
      <w:r>
        <w:rPr>
          <w:rFonts w:ascii="Calibri" w:cs="Calibri" w:eastAsia="Calibri" w:hAnsi="Calibri"/>
          <w:b w:val="false"/>
          <w:bCs w:val="false"/>
          <w:color w:val="1F2937"/>
          <w:sz w:val="22"/>
          <w:szCs w:val="22"/>
        </w:rPr>
        <w:t xml:space="preserve">Automne 2026 — Notification de la dotation théorique par ESMS (jalon majeur à préparer).</w:t>
      </w:r>
    </w:p>
    <w:p>
      <w:pPr>
        <w:spacing w:after="100"/>
      </w:pPr>
      <w:r>
        <w:rPr>
          <w:rFonts w:ascii="Calibri" w:cs="Calibri" w:eastAsia="Calibri" w:hAnsi="Calibri"/>
          <w:b/>
          <w:bCs/>
          <w:color w:val="1B3A6B"/>
          <w:sz w:val="22"/>
          <w:szCs w:val="22"/>
        </w:rPr>
        <w:t xml:space="preserve">[ ] </w:t>
      </w:r>
      <w:r>
        <w:rPr>
          <w:rFonts w:ascii="Calibri" w:cs="Calibri" w:eastAsia="Calibri" w:hAnsi="Calibri"/>
          <w:b w:val="false"/>
          <w:bCs w:val="false"/>
          <w:color w:val="1F2937"/>
          <w:sz w:val="22"/>
          <w:szCs w:val="22"/>
        </w:rPr>
        <w:t xml:space="preserve">2026 (continu) — Déploiement de l'application de recueil SIDOBA et campagnes de collecte.</w:t>
      </w:r>
    </w:p>
    <w:p>
      <w:pPr>
        <w:spacing w:after="100"/>
      </w:pPr>
      <w:r>
        <w:rPr>
          <w:rFonts w:ascii="Calibri" w:cs="Calibri" w:eastAsia="Calibri" w:hAnsi="Calibri"/>
          <w:b/>
          <w:bCs/>
          <w:color w:val="1B3A6B"/>
          <w:sz w:val="22"/>
          <w:szCs w:val="22"/>
        </w:rPr>
        <w:t xml:space="preserve">[ ] </w:t>
      </w:r>
      <w:r>
        <w:rPr>
          <w:rFonts w:ascii="Calibri" w:cs="Calibri" w:eastAsia="Calibri" w:hAnsi="Calibri"/>
          <w:b w:val="false"/>
          <w:bCs w:val="false"/>
          <w:color w:val="1F2937"/>
          <w:sz w:val="22"/>
          <w:szCs w:val="22"/>
        </w:rPr>
        <w:t xml:space="preserve">2027 — Entrée en déploiement du modèle de financement (secteur enfance), sur une trajectoire de 8 ans.</w:t>
      </w:r>
    </w:p>
    <w:p>
      <w:pPr>
        <w:spacing w:after="120" w:before="240"/>
      </w:pPr>
      <w:r>
        <w:rPr>
          <w:rFonts w:ascii="Calibri" w:cs="Calibri" w:eastAsia="Calibri" w:hAnsi="Calibri"/>
          <w:b/>
          <w:bCs/>
          <w:color w:val="1B3A6B"/>
          <w:sz w:val="28"/>
          <w:szCs w:val="28"/>
        </w:rPr>
        <w:t xml:space="preserve">Rappel SERAFIN-PH — rôle des acteurs</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22%"/>
            <w:shd w:fill="1B3A6B" w:val="clear"/>
            <w:tcMar>
              <w:top w:type="dxa" w:w="40"/>
              <w:left w:type="dxa" w:w="80"/>
              <w:bottom w:type="dxa" w:w="40"/>
              <w:right w:type="dxa" w:w="80"/>
            </w:tcMar>
          </w:tcPr>
          <w:p>
            <w:r>
              <w:rPr>
                <w:rFonts w:ascii="Calibri" w:cs="Calibri" w:eastAsia="Calibri" w:hAnsi="Calibri"/>
                <w:b/>
                <w:bCs/>
                <w:color w:val="FFFFFF"/>
                <w:sz w:val="20"/>
                <w:szCs w:val="20"/>
              </w:rPr>
              <w:t xml:space="preserve">Acteur</w:t>
            </w:r>
          </w:p>
        </w:tc>
        <w:tc>
          <w:tcPr>
            <w:tcW w:type="pct" w:w="78%"/>
            <w:shd w:fill="1B3A6B" w:val="clear"/>
            <w:tcMar>
              <w:top w:type="dxa" w:w="40"/>
              <w:left w:type="dxa" w:w="80"/>
              <w:bottom w:type="dxa" w:w="40"/>
              <w:right w:type="dxa" w:w="80"/>
            </w:tcMar>
          </w:tcPr>
          <w:p>
            <w:r>
              <w:rPr>
                <w:rFonts w:ascii="Calibri" w:cs="Calibri" w:eastAsia="Calibri" w:hAnsi="Calibri"/>
                <w:b/>
                <w:bCs/>
                <w:color w:val="FFFFFF"/>
                <w:sz w:val="20"/>
                <w:szCs w:val="20"/>
              </w:rPr>
              <w:t xml:space="preserve">Rôle</w:t>
            </w:r>
          </w:p>
        </w:tc>
      </w:tr>
      <w:tr>
        <w:tc>
          <w:tcPr>
            <w:tcW w:type="pct" w:w="22%"/>
            <w:tcMar>
              <w:top w:type="dxa" w:w="40"/>
              <w:left w:type="dxa" w:w="80"/>
              <w:bottom w:type="dxa" w:w="40"/>
              <w:right w:type="dxa" w:w="80"/>
            </w:tcMar>
          </w:tcPr>
          <w:p>
            <w:r>
              <w:rPr>
                <w:rFonts w:ascii="Calibri" w:cs="Calibri" w:eastAsia="Calibri" w:hAnsi="Calibri"/>
                <w:color w:val="1F2937"/>
                <w:sz w:val="20"/>
                <w:szCs w:val="20"/>
              </w:rPr>
              <w:t xml:space="preserve">DGCS</w:t>
            </w:r>
          </w:p>
        </w:tc>
        <w:tc>
          <w:tcPr>
            <w:tcW w:type="pct" w:w="78%"/>
            <w:tcMar>
              <w:top w:type="dxa" w:w="40"/>
              <w:left w:type="dxa" w:w="80"/>
              <w:bottom w:type="dxa" w:w="40"/>
              <w:right w:type="dxa" w:w="80"/>
            </w:tcMar>
          </w:tcPr>
          <w:p>
            <w:r>
              <w:rPr>
                <w:rFonts w:ascii="Calibri" w:cs="Calibri" w:eastAsia="Calibri" w:hAnsi="Calibri"/>
                <w:color w:val="1F2937"/>
                <w:sz w:val="20"/>
                <w:szCs w:val="20"/>
              </w:rPr>
              <w:t xml:space="preserve">Pilotage politique de la réforme, cadrage réglementaire du financement des ESSMS.</w:t>
            </w:r>
          </w:p>
        </w:tc>
      </w:tr>
      <w:tr>
        <w:tc>
          <w:tcPr>
            <w:tcW w:type="pct" w:w="22%"/>
            <w:shd w:fill="EEF2F7" w:val="clear"/>
            <w:tcMar>
              <w:top w:type="dxa" w:w="40"/>
              <w:left w:type="dxa" w:w="80"/>
              <w:bottom w:type="dxa" w:w="40"/>
              <w:right w:type="dxa" w:w="80"/>
            </w:tcMar>
          </w:tcPr>
          <w:p>
            <w:r>
              <w:rPr>
                <w:rFonts w:ascii="Calibri" w:cs="Calibri" w:eastAsia="Calibri" w:hAnsi="Calibri"/>
                <w:color w:val="1F2937"/>
                <w:sz w:val="20"/>
                <w:szCs w:val="20"/>
              </w:rPr>
              <w:t xml:space="preserve">CNSA</w:t>
            </w:r>
          </w:p>
        </w:tc>
        <w:tc>
          <w:tcPr>
            <w:tcW w:type="pct" w:w="78%"/>
            <w:shd w:fill="EEF2F7" w:val="clear"/>
            <w:tcMar>
              <w:top w:type="dxa" w:w="40"/>
              <w:left w:type="dxa" w:w="80"/>
              <w:bottom w:type="dxa" w:w="40"/>
              <w:right w:type="dxa" w:w="80"/>
            </w:tcMar>
          </w:tcPr>
          <w:p>
            <w:r>
              <w:rPr>
                <w:rFonts w:ascii="Calibri" w:cs="Calibri" w:eastAsia="Calibri" w:hAnsi="Calibri"/>
                <w:color w:val="1F2937"/>
                <w:sz w:val="20"/>
                <w:szCs w:val="20"/>
              </w:rPr>
              <w:t xml:space="preserve">Maîtrise d'ouvrage opérationnelle, SI autonomie (SIDOBA), animation du déploiement et des simulations.</w:t>
            </w:r>
          </w:p>
        </w:tc>
      </w:tr>
      <w:tr>
        <w:tc>
          <w:tcPr>
            <w:tcW w:type="pct" w:w="22%"/>
            <w:tcMar>
              <w:top w:type="dxa" w:w="40"/>
              <w:left w:type="dxa" w:w="80"/>
              <w:bottom w:type="dxa" w:w="40"/>
              <w:right w:type="dxa" w:w="80"/>
            </w:tcMar>
          </w:tcPr>
          <w:p>
            <w:r>
              <w:rPr>
                <w:rFonts w:ascii="Calibri" w:cs="Calibri" w:eastAsia="Calibri" w:hAnsi="Calibri"/>
                <w:color w:val="1F2937"/>
                <w:sz w:val="20"/>
                <w:szCs w:val="20"/>
              </w:rPr>
              <w:t xml:space="preserve">ATIH</w:t>
            </w:r>
          </w:p>
        </w:tc>
        <w:tc>
          <w:tcPr>
            <w:tcW w:type="pct" w:w="78%"/>
            <w:tcMar>
              <w:top w:type="dxa" w:w="40"/>
              <w:left w:type="dxa" w:w="80"/>
              <w:bottom w:type="dxa" w:w="40"/>
              <w:right w:type="dxa" w:w="80"/>
            </w:tcMar>
          </w:tcPr>
          <w:p>
            <w:r>
              <w:rPr>
                <w:rFonts w:ascii="Calibri" w:cs="Calibri" w:eastAsia="Calibri" w:hAnsi="Calibri"/>
                <w:color w:val="1F2937"/>
                <w:sz w:val="20"/>
                <w:szCs w:val="20"/>
              </w:rPr>
              <w:t xml:space="preserve">Maîtrise d'œuvre du recueil national PH : guides méthodologiques, plateforme de collecte, traitement des données.</w:t>
            </w:r>
          </w:p>
        </w:tc>
      </w:tr>
      <w:tr>
        <w:tc>
          <w:tcPr>
            <w:tcW w:type="pct" w:w="22%"/>
            <w:shd w:fill="EEF2F7" w:val="clear"/>
            <w:tcMar>
              <w:top w:type="dxa" w:w="40"/>
              <w:left w:type="dxa" w:w="80"/>
              <w:bottom w:type="dxa" w:w="40"/>
              <w:right w:type="dxa" w:w="80"/>
            </w:tcMar>
          </w:tcPr>
          <w:p>
            <w:r>
              <w:rPr>
                <w:rFonts w:ascii="Calibri" w:cs="Calibri" w:eastAsia="Calibri" w:hAnsi="Calibri"/>
                <w:color w:val="1F2937"/>
                <w:sz w:val="20"/>
                <w:szCs w:val="20"/>
              </w:rPr>
              <w:t xml:space="preserve">ARS</w:t>
            </w:r>
          </w:p>
        </w:tc>
        <w:tc>
          <w:tcPr>
            <w:tcW w:type="pct" w:w="78%"/>
            <w:shd w:fill="EEF2F7" w:val="clear"/>
            <w:tcMar>
              <w:top w:type="dxa" w:w="40"/>
              <w:left w:type="dxa" w:w="80"/>
              <w:bottom w:type="dxa" w:w="40"/>
              <w:right w:type="dxa" w:w="80"/>
            </w:tcMar>
          </w:tcPr>
          <w:p>
            <w:r>
              <w:rPr>
                <w:rFonts w:ascii="Calibri" w:cs="Calibri" w:eastAsia="Calibri" w:hAnsi="Calibri"/>
                <w:color w:val="1F2937"/>
                <w:sz w:val="20"/>
                <w:szCs w:val="20"/>
              </w:rPr>
              <w:t xml:space="preserve">Déclinaison territoriale : dialogue de gestion, allocation des ressources, CPOM.</w:t>
            </w:r>
          </w:p>
        </w:tc>
      </w:tr>
    </w:tbl>
    <w:p>
      <w:pPr>
        <w:spacing w:before="240"/>
      </w:pPr>
      <w:r>
        <w:rPr>
          <w:rFonts w:ascii="Calibri" w:cs="Calibri" w:eastAsia="Calibri" w:hAnsi="Calibri"/>
          <w:i/>
          <w:iCs/>
          <w:color w:val="6B7280"/>
          <w:sz w:val="18"/>
          <w:szCs w:val="18"/>
        </w:rPr>
        <w:t xml:space="preserve">Synthèse produite le 15/07/2026 (rattrapage). Sources : CNSA ✅ · handicap.gouv.fr ✅ · ATIH ⚠️ (WebFetch 403, données via WebSearch). Veille automatisée Claude_Travail.</w:t>
      </w:r>
    </w:p>
    <w:sectPr>
      <w:pgSz w:w="11906" w:h="16838" w:orient="portrait"/>
      <w:pgMar w:top="400" w:right="500" w:bottom="4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mlsi370z7r2zr4x9tsik" Type="http://schemas.openxmlformats.org/officeDocument/2006/relationships/hyperlink" Target="https://www.cnsa.fr/budget-et-financement/serafin-PH" TargetMode="External"/><Relationship Id="rIdq2d6dwkk8deidqmrotnw5" Type="http://schemas.openxmlformats.org/officeDocument/2006/relationships/hyperlink" Target="https://www.cnsa.fr/actualites/serafin-ph-preparation-du-recueil-dinformations-ph-2026-en-vue-du-deploiement-du-futur" TargetMode="External"/><Relationship Id="rIdfbad1xw73pgljskf6exr3" Type="http://schemas.openxmlformats.org/officeDocument/2006/relationships/hyperlink" Target="https://handicap.gouv.fr/serafin-ph" TargetMode="External"/><Relationship Id="rId7ijcgysachtvo6va1putd" Type="http://schemas.openxmlformats.org/officeDocument/2006/relationships/hyperlink" Target="https://www.atih.sante.fr/champ-d-activite/personnes-handicape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SERAFIN-PH 2026-07-15</dc:title>
  <dc:creator>Claude_Travail</dc:creator>
  <cp:lastModifiedBy>Un-named</cp:lastModifiedBy>
  <cp:revision>1</cp:revision>
  <dcterms:created xsi:type="dcterms:W3CDTF">2026-07-15T21:21:54.318Z</dcterms:created>
  <dcterms:modified xsi:type="dcterms:W3CDTF">2026-07-15T21:21:54.319Z</dcterms:modified>
</cp:coreProperties>
</file>

<file path=docProps/custom.xml><?xml version="1.0" encoding="utf-8"?>
<Properties xmlns="http://schemas.openxmlformats.org/officeDocument/2006/custom-properties" xmlns:vt="http://schemas.openxmlformats.org/officeDocument/2006/docPropsVTypes"/>
</file>