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Veille AI Act — Compte-rendu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4"/>
          <w:szCs w:val="24"/>
        </w:rPr>
        <w:t xml:space="preserve">13 juillet 2026 · Niveau d'alerte : 🟡 À surveiller · Sources : 4/7 (headless)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Pleine application au 2 août 2026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règles de transparence (art. 50, contenus générés par IA) et les pouvoirs d'exécution nationaux et européens entrent en vigueur ; la Commission pourra exercer ses pouvoirs sur les modèles à usage général (GPAI).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Report « Digital Omnibus »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accord provisoire du 7 mai 2026 — l'échéance des systèmes à haut risque de l'Annexe III est reportée du 2 août 2026 au 2 décembre 2027 ; celle de l'Annexe I (IA intégrée à des produits) au 2 août 2028.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Code de bonnes pratiques GPAI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finalisé et signé par une vingtaine de fournisseurs (dont Anthropic, Google, IBM, Microsoft, Mistral, OpenAI, Cohere).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Niveau d'alerte : 🟡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échéance structurante imminente (2 août) mais report des obligations haut-risque : à intégrer dans la planification, sans urgence opérationnelle pour un ESSMS.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Échéances réglementaires à venir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août 2026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transparence (art. 50), gouvernance et pouvoirs d'exécution ; début effectif des actions de la Commission sur les GPAI.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décembre 2027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obligations des systèmes à haut risque de l'Annexe III (biométrie, infrastructures critiques, emploi, accès aux services essentiels…) — délai reporté.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août 2028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obligations des systèmes à haut risque de l'Annexe I (IA intégrée à des produits réglementés).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🏛️ Actualité officielle UE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Commission européenne.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cadre de mise en œuvre se précise à l'approche du 2 août 2026 : transparence des contenus IA, articulation avec l'AI Office, et calendrier révisé par le paquet « Digital Omnibus » qui échelonne les obligations les plus lourdes.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AI Office / GPAI.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Code de bonnes pratiques pour l'IA à usage général sert de référentiel volontaire de conformité ; les pouvoirs d'exécution (demandes d'information, accès aux modèles, rappels) deviennent effectifs au 2 août 2026, un an après l'entrée en vigueur des règles GPAI.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📰 Analyses &amp; gouvernance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report des échéances haut-risque est présenté comme une mesure de simplification et de lisibilité (dates fixes plutôt que conditionnelles), donnant aux organisations plus de temps pour cartographier leurs systèmes. À noter : la transparence (art. 50) n'est PAS reportée — l'obligation d'informer qu'un contenu est généré/assisté par IA s'applique dès le 2 août 2026.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🇫🇷 Perspective française (CNIL / RGPD)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Convergence AI Act / RGPD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lignes directrices EDPB adoptées le 8 juillet 2026 sur l'anonymisation et le web scraping pour l'IA générative (consultation jusqu'au 30 octobre 2026) éclairent la base légale des données servant à entraîner ou alimenter une IA — un point de vigilance direct pour tout projet d'IA en établissement.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Impacts pour les ESSMS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Transparence (art. 50)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un outil d'IA génère des écrits (comptes-rendus, courriers, supports), prévoir une information claire des personnes concernées dès le 2 août 2026.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Cartographie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recenser les usages d'IA (aide à la rédaction, planification, analyse) et classer leur niveau de risque — le report au 2 déc. 2027 laisse le temps de le faire sereinement.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Données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articuler tout projet IA avec le RGPD (base légale, données de santé, minimisation) — cf. lignes directrices EDPB.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Supervision humaine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maintenir une validation humaine sur toute décision touchant l'accompagnement ; l'IA reste un appui, pas un décideur.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📚 Sources du jour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5nnzbv5zv-bojujzyhc2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Commission européenne — Regulatory framework on AI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cadre officiel et actualités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1tuztj1g-qo-hjmwfrdm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EU Artificial Intelligence Act — Implementation timeline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calendrier d'application détaillé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qy_nejs81g2fzskfy_t7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EU AI Act — Overview of the Code of Practice (GPAI)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code de bonnes pratiques pour l'IA à usage général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a7bxdves_uepahzrpptjk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EDPB — Anonymisation &amp; web scraping (IA générative)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lignes directrices du 8 juillet 2026 (volet RGPD)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🔜 À surveiller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Textes d'application du « Digital Omnibus » et confirmation définitive des dates reportées (2 déc. 2027 / 2 août 2028).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Premières actions de l'AI Office sur les GPAI après le 2 août 2026.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Consultation EDPB (web scraping / IA générative) ouverte jusqu'au 30 octobre 2026.</w:t>
      </w:r>
    </w:p>
    <w:p>
      <w:pPr>
        <w:pBdr>
          <w:top w:val="single" w:color="1B3A6B" w:sz="6" w:space="6"/>
        </w:pBdr>
        <w:spacing w:before="2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Compte-rendu produit le 13 juillet 2026 (rattrapage manuel, mode headless WebSearch — 4 sources). Niveau d'alerte : 🟡 À surveiller.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nnzbv5zv-bojujzyhc2s" Type="http://schemas.openxmlformats.org/officeDocument/2006/relationships/hyperlink" Target="https://digital-strategy.ec.europa.eu/en/policies/regulatory-framework-ai" TargetMode="External"/><Relationship Id="rId1tuztj1g-qo-hjmwfrdma" Type="http://schemas.openxmlformats.org/officeDocument/2006/relationships/hyperlink" Target="https://artificialintelligenceact.eu/implementation-timeline/" TargetMode="External"/><Relationship Id="rIdqy_nejs81g2fzskfy_t71" Type="http://schemas.openxmlformats.org/officeDocument/2006/relationships/hyperlink" Target="https://artificialintelligenceact.eu/code-of-practice-overview/" TargetMode="External"/><Relationship Id="rIda7bxdves_uepahzrpptjk" Type="http://schemas.openxmlformats.org/officeDocument/2006/relationships/hyperlink" Target="https://www.edpb.europa.eu/news/edpb-sheds-light-on-anonymisation-and-web-scraping-for-generative-ai-and-adopts-final-version_e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2026-07-13T08:41:16.806Z</dcterms:created>
  <dcterms:modified xsi:type="dcterms:W3CDTF">2026-07-13T08:41:16.821Z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