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val="false"/>
          <w:bCs w:val="false"/>
          <w:color w:val="888888"/>
          <w:sz w:val="20"/>
          <w:szCs w:val="20"/>
        </w:rPr>
        <w:t xml:space="preserve">VEILLE RBPP — HAS</w:t>
      </w:r>
    </w:p>
    <w:p>
      <w:pPr>
        <w:spacing w:after="120"/>
      </w:pPr>
      <w:r>
        <w:rPr>
          <w:rFonts w:ascii="Calibri" w:cs="Calibri" w:eastAsia="Calibri" w:hAnsi="Calibri"/>
          <w:b/>
          <w:bCs/>
          <w:color w:val="1B3A6B"/>
          <w:sz w:val="36"/>
          <w:szCs w:val="36"/>
        </w:rPr>
        <w:t xml:space="preserve">Accompagner la vie intime, affective et sexuelle des personnes en ESSMS</w:t>
      </w:r>
    </w:p>
    <w:p>
      <w:pPr>
        <w:spacing w:after="80"/>
      </w:pPr>
      <w:r>
        <w:rPr>
          <w:rFonts w:ascii="Calibri" w:cs="Calibri" w:eastAsia="Calibri" w:hAnsi="Calibri"/>
          <w:b/>
          <w:bCs/>
          <w:color w:val="3A6BA8"/>
          <w:sz w:val="28"/>
          <w:szCs w:val="28"/>
        </w:rPr>
        <w:t xml:space="preserve">Volet 1 – Socle transversal</w:t>
      </w:r>
    </w:p>
    <w:p>
      <w:pPr>
        <w:spacing w:after="40"/>
      </w:pPr>
      <w:r>
        <w:rPr>
          <w:rFonts w:ascii="Calibri" w:cs="Calibri" w:eastAsia="Calibri" w:hAnsi="Calibri"/>
          <w:color w:val="888888"/>
          <w:sz w:val="20"/>
          <w:szCs w:val="20"/>
        </w:rPr>
        <w:t xml:space="preserve">Veille produite le : 2026-06-22</w:t>
      </w:r>
    </w:p>
    <w:p>
      <w:pPr>
        <w:spacing w:after="400"/>
      </w:pPr>
      <w:r>
        <w:rPr>
          <w:rFonts w:ascii="Calibri" w:cs="Calibri" w:eastAsia="Calibri" w:hAnsi="Calibri"/>
          <w:color w:val="888888"/>
          <w:sz w:val="20"/>
          <w:szCs w:val="20"/>
        </w:rPr>
        <w:t xml:space="preserve">Source : HAS (Haute Autorité de Santé) — Validé CSMS le 14 janvier 2025, mis à jour novembre 2025</w:t>
      </w:r>
    </w:p>
    <w:p>
      <w:pPr>
        <w:pStyle w:val="Heading1"/>
        <w:spacing w:after="120" w:before="300"/>
        <w:rPr>
          <w:rFonts w:ascii="Calibri" w:cs="Calibri" w:eastAsia="Calibri" w:hAnsi="Calibri"/>
          <w:b/>
          <w:bCs/>
          <w:color w:val="1B3A6B"/>
          <w:sz w:val="28"/>
          <w:szCs w:val="28"/>
        </w:rPr>
      </w:pPr>
      <w:r>
        <w:t xml:space="preserve">📋 Informations clés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tcPr>
          <w:p>
            <w:r>
              <w:rPr>
                <w:rFonts w:ascii="Calibri" w:cs="Calibri" w:eastAsia="Calibri" w:hAnsi="Calibri"/>
                <w:b/>
                <w:bCs/>
                <w:color w:val="FFFFFF"/>
                <w:sz w:val="20"/>
                <w:szCs w:val="20"/>
              </w:rPr>
              <w:t xml:space="preserve">Champ</w:t>
            </w:r>
          </w:p>
        </w:tc>
        <w:tc>
          <w:tcPr>
            <w:tcW w:type="pct" w:w="70%"/>
            <w:shd w:fill="1B3A6B"/>
          </w:tcPr>
          <w:p>
            <w:r>
              <w:rPr>
                <w:rFonts w:ascii="Calibri" w:cs="Calibri" w:eastAsia="Calibri" w:hAnsi="Calibri"/>
                <w:b/>
                <w:bCs/>
                <w:color w:val="FFFFFF"/>
                <w:sz w:val="20"/>
                <w:szCs w:val="20"/>
              </w:rPr>
              <w:t xml:space="preserve">Détail</w:t>
            </w:r>
          </w:p>
        </w:tc>
      </w:tr>
      <w:tr>
        <w:tc>
          <w:tcPr>
            <w:tcW w:type="pct" w:w="30%"/>
            <w:shd w:fill="F5F5F5"/>
          </w:tcPr>
          <w:p>
            <w:r>
              <w:rPr>
                <w:rFonts w:ascii="Calibri" w:cs="Calibri" w:eastAsia="Calibri" w:hAnsi="Calibri"/>
                <w:b w:val="false"/>
                <w:bCs w:val="false"/>
                <w:color w:val="4A4A4A"/>
                <w:sz w:val="20"/>
                <w:szCs w:val="20"/>
              </w:rPr>
              <w:t xml:space="preserve">Titre</w:t>
            </w:r>
          </w:p>
        </w:tc>
        <w:tc>
          <w:tcPr>
            <w:tcW w:type="pct" w:w="70%"/>
          </w:tcPr>
          <w:p>
            <w:r>
              <w:rPr>
                <w:rFonts w:ascii="Calibri" w:cs="Calibri" w:eastAsia="Calibri" w:hAnsi="Calibri"/>
                <w:b w:val="false"/>
                <w:bCs w:val="false"/>
                <w:color w:val="4A4A4A"/>
                <w:sz w:val="20"/>
                <w:szCs w:val="20"/>
              </w:rPr>
              <w:t xml:space="preserve">Accompagner la vie intime, affective et sexuelle des personnes en ESSMS — Volet 1 : Socle transversal</w:t>
            </w:r>
          </w:p>
        </w:tc>
      </w:tr>
      <w:tr>
        <w:tc>
          <w:tcPr>
            <w:tcW w:type="pct" w:w="30%"/>
            <w:shd w:fill="F5F5F5"/>
          </w:tcPr>
          <w:p>
            <w:r>
              <w:rPr>
                <w:rFonts w:ascii="Calibri" w:cs="Calibri" w:eastAsia="Calibri" w:hAnsi="Calibri"/>
                <w:b w:val="false"/>
                <w:bCs w:val="false"/>
                <w:color w:val="4A4A4A"/>
                <w:sz w:val="20"/>
                <w:szCs w:val="20"/>
              </w:rPr>
              <w:t xml:space="preserve">Type</w:t>
            </w:r>
          </w:p>
        </w:tc>
        <w:tc>
          <w:tcPr>
            <w:tcW w:type="pct" w:w="70%"/>
          </w:tcPr>
          <w:p>
            <w:r>
              <w:rPr>
                <w:rFonts w:ascii="Calibri" w:cs="Calibri" w:eastAsia="Calibri" w:hAnsi="Calibri"/>
                <w:b w:val="false"/>
                <w:bCs w:val="false"/>
                <w:color w:val="4A4A4A"/>
                <w:sz w:val="20"/>
                <w:szCs w:val="20"/>
              </w:rPr>
              <w:t xml:space="preserve">Recommandation de Bonnes Pratiques Professionnelles (RBPP)</w:t>
            </w:r>
          </w:p>
        </w:tc>
      </w:tr>
      <w:tr>
        <w:tc>
          <w:tcPr>
            <w:tcW w:type="pct" w:w="30%"/>
            <w:shd w:fill="F5F5F5"/>
          </w:tcPr>
          <w:p>
            <w:r>
              <w:rPr>
                <w:rFonts w:ascii="Calibri" w:cs="Calibri" w:eastAsia="Calibri" w:hAnsi="Calibri"/>
                <w:b w:val="false"/>
                <w:bCs w:val="false"/>
                <w:color w:val="4A4A4A"/>
                <w:sz w:val="20"/>
                <w:szCs w:val="20"/>
              </w:rPr>
              <w:t xml:space="preserve">Méthode</w:t>
            </w:r>
          </w:p>
        </w:tc>
        <w:tc>
          <w:tcPr>
            <w:tcW w:type="pct" w:w="70%"/>
          </w:tcPr>
          <w:p>
            <w:r>
              <w:rPr>
                <w:rFonts w:ascii="Calibri" w:cs="Calibri" w:eastAsia="Calibri" w:hAnsi="Calibri"/>
                <w:b w:val="false"/>
                <w:bCs w:val="false"/>
                <w:color w:val="4A4A4A"/>
                <w:sz w:val="20"/>
                <w:szCs w:val="20"/>
              </w:rPr>
              <w:t xml:space="preserve">Consensus simple</w:t>
            </w:r>
          </w:p>
        </w:tc>
      </w:tr>
      <w:tr>
        <w:tc>
          <w:tcPr>
            <w:tcW w:type="pct" w:w="30%"/>
            <w:shd w:fill="F5F5F5"/>
          </w:tcPr>
          <w:p>
            <w:r>
              <w:rPr>
                <w:rFonts w:ascii="Calibri" w:cs="Calibri" w:eastAsia="Calibri" w:hAnsi="Calibri"/>
                <w:b w:val="false"/>
                <w:bCs w:val="false"/>
                <w:color w:val="4A4A4A"/>
                <w:sz w:val="20"/>
                <w:szCs w:val="20"/>
              </w:rPr>
              <w:t xml:space="preserve">Date de validation</w:t>
            </w:r>
          </w:p>
        </w:tc>
        <w:tc>
          <w:tcPr>
            <w:tcW w:type="pct" w:w="70%"/>
          </w:tcPr>
          <w:p>
            <w:r>
              <w:rPr>
                <w:rFonts w:ascii="Calibri" w:cs="Calibri" w:eastAsia="Calibri" w:hAnsi="Calibri"/>
                <w:b w:val="false"/>
                <w:bCs w:val="false"/>
                <w:color w:val="4A4A4A"/>
                <w:sz w:val="20"/>
                <w:szCs w:val="20"/>
              </w:rPr>
              <w:t xml:space="preserve">14 janvier 2025 (mis à jour 14/11/2025 — Loi n°2025-1057 sur définition pénale du viol)</w:t>
            </w:r>
          </w:p>
        </w:tc>
      </w:tr>
      <w:tr>
        <w:tc>
          <w:tcPr>
            <w:tcW w:type="pct" w:w="30%"/>
            <w:shd w:fill="F5F5F5"/>
          </w:tcPr>
          <w:p>
            <w:r>
              <w:rPr>
                <w:rFonts w:ascii="Calibri" w:cs="Calibri" w:eastAsia="Calibri" w:hAnsi="Calibri"/>
                <w:b w:val="false"/>
                <w:bCs w:val="false"/>
                <w:color w:val="4A4A4A"/>
                <w:sz w:val="20"/>
                <w:szCs w:val="20"/>
              </w:rPr>
              <w:t xml:space="preserve">Promoteur</w:t>
            </w:r>
          </w:p>
        </w:tc>
        <w:tc>
          <w:tcPr>
            <w:tcW w:type="pct" w:w="70%"/>
          </w:tcPr>
          <w:p>
            <w:r>
              <w:rPr>
                <w:rFonts w:ascii="Calibri" w:cs="Calibri" w:eastAsia="Calibri" w:hAnsi="Calibri"/>
                <w:b w:val="false"/>
                <w:bCs w:val="false"/>
                <w:color w:val="4A4A4A"/>
                <w:sz w:val="20"/>
                <w:szCs w:val="20"/>
              </w:rPr>
              <w:t xml:space="preserve">Haute Autorité de Santé (HAS) — DiQASM</w:t>
            </w:r>
          </w:p>
        </w:tc>
      </w:tr>
      <w:tr>
        <w:tc>
          <w:tcPr>
            <w:tcW w:type="pct" w:w="30%"/>
            <w:shd w:fill="F5F5F5"/>
          </w:tcPr>
          <w:p>
            <w:r>
              <w:rPr>
                <w:rFonts w:ascii="Calibri" w:cs="Calibri" w:eastAsia="Calibri" w:hAnsi="Calibri"/>
                <w:b w:val="false"/>
                <w:bCs w:val="false"/>
                <w:color w:val="4A4A4A"/>
                <w:sz w:val="20"/>
                <w:szCs w:val="20"/>
              </w:rPr>
              <w:t xml:space="preserve">Public cible</w:t>
            </w:r>
          </w:p>
        </w:tc>
        <w:tc>
          <w:tcPr>
            <w:tcW w:type="pct" w:w="70%"/>
          </w:tcPr>
          <w:p>
            <w:r>
              <w:rPr>
                <w:rFonts w:ascii="Calibri" w:cs="Calibri" w:eastAsia="Calibri" w:hAnsi="Calibri"/>
                <w:b w:val="false"/>
                <w:bCs w:val="false"/>
                <w:color w:val="4A4A4A"/>
                <w:sz w:val="20"/>
                <w:szCs w:val="20"/>
              </w:rPr>
              <w:t xml:space="preserve">Tous les professionnels des ESSMS (handicap, protection enfance, inclusion, personnes âgées, psychiatrie)</w:t>
            </w:r>
          </w:p>
        </w:tc>
      </w:tr>
      <w:tr>
        <w:tc>
          <w:tcPr>
            <w:tcW w:type="pct" w:w="30%"/>
            <w:shd w:fill="F5F5F5"/>
          </w:tcPr>
          <w:p>
            <w:r>
              <w:rPr>
                <w:rFonts w:ascii="Calibri" w:cs="Calibri" w:eastAsia="Calibri" w:hAnsi="Calibri"/>
                <w:b w:val="false"/>
                <w:bCs w:val="false"/>
                <w:color w:val="4A4A4A"/>
                <w:sz w:val="20"/>
                <w:szCs w:val="20"/>
              </w:rPr>
              <w:t xml:space="preserve">Personnes concernées</w:t>
            </w:r>
          </w:p>
        </w:tc>
        <w:tc>
          <w:tcPr>
            <w:tcW w:type="pct" w:w="70%"/>
          </w:tcPr>
          <w:p>
            <w:r>
              <w:rPr>
                <w:rFonts w:ascii="Calibri" w:cs="Calibri" w:eastAsia="Calibri" w:hAnsi="Calibri"/>
                <w:b w:val="false"/>
                <w:bCs w:val="false"/>
                <w:color w:val="4A4A4A"/>
                <w:sz w:val="20"/>
                <w:szCs w:val="20"/>
              </w:rPr>
              <w:t xml:space="preserve">Personnes accompagnées en situation de vulnérabilité et leurs proches</w:t>
            </w:r>
          </w:p>
        </w:tc>
      </w:tr>
      <w:tr>
        <w:tc>
          <w:tcPr>
            <w:tcW w:type="pct" w:w="30%"/>
            <w:shd w:fill="F5F5F5"/>
          </w:tcPr>
          <w:p>
            <w:r>
              <w:rPr>
                <w:rFonts w:ascii="Calibri" w:cs="Calibri" w:eastAsia="Calibri" w:hAnsi="Calibri"/>
                <w:b w:val="false"/>
                <w:bCs w:val="false"/>
                <w:color w:val="4A4A4A"/>
                <w:sz w:val="20"/>
                <w:szCs w:val="20"/>
              </w:rPr>
              <w:t xml:space="preserve">Volets prévus</w:t>
            </w:r>
          </w:p>
        </w:tc>
        <w:tc>
          <w:tcPr>
            <w:tcW w:type="pct" w:w="70%"/>
          </w:tcPr>
          <w:p>
            <w:r>
              <w:rPr>
                <w:rFonts w:ascii="Calibri" w:cs="Calibri" w:eastAsia="Calibri" w:hAnsi="Calibri"/>
                <w:b w:val="false"/>
                <w:bCs w:val="false"/>
                <w:color w:val="4A4A4A"/>
                <w:sz w:val="20"/>
                <w:szCs w:val="20"/>
              </w:rPr>
              <w:t xml:space="preserve">Volet 1 (socle transversal) — Volet 2 (en cours d'élaboration : outils et pratiques ciblés)</w:t>
            </w:r>
          </w:p>
        </w:tc>
      </w:tr>
    </w:tbl>
    <w:p>
      <w:pPr>
        <w:spacing w:after="200"/>
      </w:pPr>
    </w:p>
    <w:p>
      <w:pPr>
        <w:pStyle w:val="Heading1"/>
        <w:spacing w:after="120" w:before="300"/>
        <w:rPr>
          <w:rFonts w:ascii="Calibri" w:cs="Calibri" w:eastAsia="Calibri" w:hAnsi="Calibri"/>
          <w:b/>
          <w:bCs/>
          <w:color w:val="1B3A6B"/>
          <w:sz w:val="28"/>
          <w:szCs w:val="28"/>
        </w:rPr>
      </w:pPr>
      <w:r>
        <w:t xml:space="preserve">📝 Résumé exécutif</w:t>
      </w:r>
    </w:p>
    <w:p>
      <w:pPr>
        <w:spacing w:after="80"/>
      </w:pPr>
      <w:r>
        <w:rPr>
          <w:rFonts w:ascii="Calibri" w:cs="Calibri" w:eastAsia="Calibri" w:hAnsi="Calibri"/>
          <w:b w:val="false"/>
          <w:bCs w:val="false"/>
          <w:color w:val="4A4A4A"/>
          <w:sz w:val="22"/>
          <w:szCs w:val="22"/>
        </w:rPr>
        <w:t xml:space="preserve">Cette RBPP comble un vide important : pour la première fois, la HAS propose un cadre commun transversal pour tous les ESSMS afin d'accompagner la vie intime, affective et sexuelle (VIAS) des personnes vulnérables. Elle s'adresse à l'ensemble des secteurs (handicap, personnes âgées, protection de l'enfance, inclusion, psychiatrie).</w:t>
      </w:r>
    </w:p>
    <w:p>
      <w:pPr>
        <w:spacing w:after="80"/>
      </w:pPr>
      <w:r>
        <w:rPr>
          <w:rFonts w:ascii="Calibri" w:cs="Calibri" w:eastAsia="Calibri" w:hAnsi="Calibri"/>
          <w:b w:val="false"/>
          <w:bCs w:val="false"/>
          <w:color w:val="4A4A4A"/>
          <w:sz w:val="22"/>
          <w:szCs w:val="22"/>
        </w:rPr>
        <w:t xml:space="preserve">Le document de 87 pages pose les fondations éthiques, juridiques et organisationnelles. Il reconnaît la VIAS comme une liberté fondamentale et un facteur de bien-être, trop souvent niée ou ignorée dans les ESSMS par manque de cadre commun. Le socle transversal repose sur : droits humains, autodétermination, formation des professionnels, aménagement des espaces, et prévention des violences sexistes et sexuelles.</w:t>
      </w:r>
    </w:p>
    <w:p>
      <w:pPr>
        <w:spacing w:after="80"/>
      </w:pPr>
      <w:r>
        <w:rPr>
          <w:rFonts w:ascii="Calibri" w:cs="Calibri" w:eastAsia="Calibri" w:hAnsi="Calibri"/>
          <w:b w:val="false"/>
          <w:bCs w:val="false"/>
          <w:color w:val="4A4A4A"/>
          <w:sz w:val="22"/>
          <w:szCs w:val="22"/>
        </w:rPr>
        <w:t xml:space="preserve">Mise à jour en novembre 2025 suite à la promulgation de la Loi n°2025-1057 du 6 novembre 2025 modifiant la définition pénale du viol et des agressions sexuelles.</w:t>
      </w:r>
    </w:p>
    <w:p>
      <w:pPr>
        <w:spacing w:after="100"/>
      </w:pPr>
    </w:p>
    <w:p>
      <w:pPr>
        <w:pStyle w:val="Heading1"/>
        <w:spacing w:after="120" w:before="300"/>
        <w:rPr>
          <w:rFonts w:ascii="Calibri" w:cs="Calibri" w:eastAsia="Calibri" w:hAnsi="Calibri"/>
          <w:b/>
          <w:bCs/>
          <w:color w:val="1B3A6B"/>
          <w:sz w:val="28"/>
          <w:szCs w:val="28"/>
        </w:rPr>
      </w:pPr>
      <w:r>
        <w:t xml:space="preserve">🔑 Points clés par chapitre</w:t>
      </w:r>
    </w:p>
    <w:p>
      <w:pPr>
        <w:pStyle w:val="Heading2"/>
        <w:spacing w:after="80" w:before="240"/>
        <w:rPr>
          <w:rFonts w:ascii="Calibri" w:cs="Calibri" w:eastAsia="Calibri" w:hAnsi="Calibri"/>
          <w:b/>
          <w:bCs/>
          <w:color w:val="1B3A6B"/>
          <w:sz w:val="24"/>
          <w:szCs w:val="24"/>
        </w:rPr>
      </w:pPr>
      <w:r>
        <w:t xml:space="preserve">Chapitre 1 — Définir la VIAS</w:t>
      </w:r>
    </w:p>
    <w:p>
      <w:pPr>
        <w:spacing w:after="60"/>
        <w:ind w:left="360"/>
      </w:pPr>
      <w:r>
        <w:rPr>
          <w:rFonts w:ascii="Calibri" w:cs="Calibri" w:eastAsia="Calibri" w:hAnsi="Calibri"/>
          <w:color w:val="4A4A4A"/>
          <w:sz w:val="22"/>
          <w:szCs w:val="22"/>
        </w:rPr>
        <w:t xml:space="preserve">• Définition HAS de la VIAS : « la liberté, dans le respect des droits de chacun et dans le cadre de la loi, d'exprimer et de pouvoir réaliser ses désirs et besoins en lien avec l'intimité, l'affectivité et la sexualité, par des manifestations émotionnelles, physiques et sociales »</w:t>
      </w:r>
    </w:p>
    <w:p>
      <w:pPr>
        <w:spacing w:after="60"/>
        <w:ind w:left="360"/>
      </w:pPr>
      <w:r>
        <w:rPr>
          <w:rFonts w:ascii="Calibri" w:cs="Calibri" w:eastAsia="Calibri" w:hAnsi="Calibri"/>
          <w:color w:val="4A4A4A"/>
          <w:sz w:val="22"/>
          <w:szCs w:val="22"/>
        </w:rPr>
        <w:t xml:space="preserve">• 3 dimensions distinctes et liées : intimité (espace protégé de soi), vie affective (émotions et sentiments), santé sexuelle (OMS 2006 : bien-être physique, émotionnel, mental et social)</w:t>
      </w:r>
    </w:p>
    <w:p>
      <w:pPr>
        <w:spacing w:after="60"/>
        <w:ind w:left="360"/>
      </w:pPr>
      <w:r>
        <w:rPr>
          <w:rFonts w:ascii="Calibri" w:cs="Calibri" w:eastAsia="Calibri" w:hAnsi="Calibri"/>
          <w:color w:val="4A4A4A"/>
          <w:sz w:val="22"/>
          <w:szCs w:val="22"/>
        </w:rPr>
        <w:t xml:space="preserve">• Approche positive : la VIAS est un signal positif de santé, pas un risque à gérer</w:t>
      </w:r>
    </w:p>
    <w:p>
      <w:pPr>
        <w:spacing w:after="60"/>
        <w:ind w:left="360"/>
      </w:pPr>
      <w:r>
        <w:rPr>
          <w:rFonts w:ascii="Calibri" w:cs="Calibri" w:eastAsia="Calibri" w:hAnsi="Calibri"/>
          <w:color w:val="4A4A4A"/>
          <w:sz w:val="22"/>
          <w:szCs w:val="22"/>
        </w:rPr>
        <w:t xml:space="preserve">• Droits fondamentaux mobilisés : droit à l'intimité, à l'égalité, à la liberté, à l'autonomie, à la dignité, à la sécurité</w:t>
      </w:r>
    </w:p>
    <w:p>
      <w:pPr>
        <w:pStyle w:val="Heading2"/>
        <w:spacing w:after="80" w:before="240"/>
        <w:rPr>
          <w:rFonts w:ascii="Calibri" w:cs="Calibri" w:eastAsia="Calibri" w:hAnsi="Calibri"/>
          <w:b/>
          <w:bCs/>
          <w:color w:val="1B3A6B"/>
          <w:sz w:val="24"/>
          <w:szCs w:val="24"/>
        </w:rPr>
      </w:pPr>
      <w:r>
        <w:t xml:space="preserve">Chapitre 2 — Portage institutionnel</w:t>
      </w:r>
    </w:p>
    <w:p>
      <w:pPr>
        <w:spacing w:after="60"/>
        <w:ind w:left="360"/>
      </w:pPr>
      <w:r>
        <w:rPr>
          <w:rFonts w:ascii="Calibri" w:cs="Calibri" w:eastAsia="Calibri" w:hAnsi="Calibri"/>
          <w:color w:val="4A4A4A"/>
          <w:sz w:val="22"/>
          <w:szCs w:val="22"/>
        </w:rPr>
        <w:t xml:space="preserve">• Inscrire la VIAS dans les outils institutionnels : projet d'établissement, projet personnalisé, règlement de fonctionnement, livret d'accueil, contrat de séjour</w:t>
      </w:r>
    </w:p>
    <w:p>
      <w:pPr>
        <w:spacing w:after="60"/>
        <w:ind w:left="360"/>
      </w:pPr>
      <w:r>
        <w:rPr>
          <w:rFonts w:ascii="Calibri" w:cs="Calibri" w:eastAsia="Calibri" w:hAnsi="Calibri"/>
          <w:color w:val="4A4A4A"/>
          <w:sz w:val="22"/>
          <w:szCs w:val="22"/>
        </w:rPr>
        <w:t xml:space="preserve">• Penser l'aménagement des espaces : espaces privés, fermeture à clé, liberté de circulation</w:t>
      </w:r>
    </w:p>
    <w:p>
      <w:pPr>
        <w:spacing w:after="60"/>
        <w:ind w:left="360"/>
      </w:pPr>
      <w:r>
        <w:rPr>
          <w:rFonts w:ascii="Calibri" w:cs="Calibri" w:eastAsia="Calibri" w:hAnsi="Calibri"/>
          <w:color w:val="4A4A4A"/>
          <w:sz w:val="22"/>
          <w:szCs w:val="22"/>
        </w:rPr>
        <w:t xml:space="preserve">• Organiser la liberté de circulation dans le respect de la sécurité</w:t>
      </w:r>
    </w:p>
    <w:p>
      <w:pPr>
        <w:spacing w:after="60"/>
        <w:ind w:left="360"/>
      </w:pPr>
      <w:r>
        <w:rPr>
          <w:rFonts w:ascii="Calibri" w:cs="Calibri" w:eastAsia="Calibri" w:hAnsi="Calibri"/>
          <w:color w:val="4A4A4A"/>
          <w:sz w:val="22"/>
          <w:szCs w:val="22"/>
        </w:rPr>
        <w:t xml:space="preserve">• Respecter la vie privée et la confidentialité des informations partagées en équipe</w:t>
      </w:r>
    </w:p>
    <w:p>
      <w:pPr>
        <w:spacing w:after="60"/>
        <w:ind w:left="360"/>
      </w:pPr>
      <w:r>
        <w:rPr>
          <w:rFonts w:ascii="Calibri" w:cs="Calibri" w:eastAsia="Calibri" w:hAnsi="Calibri"/>
          <w:color w:val="4A4A4A"/>
          <w:sz w:val="22"/>
          <w:szCs w:val="22"/>
        </w:rPr>
        <w:t xml:space="preserve">• Former et sensibiliser : professionnels (formation obligatoire), personnes accompagnées (FALC, CAA), proches</w:t>
      </w:r>
    </w:p>
    <w:p>
      <w:pPr>
        <w:spacing w:after="60"/>
        <w:ind w:left="360"/>
      </w:pPr>
      <w:r>
        <w:rPr>
          <w:rFonts w:ascii="Calibri" w:cs="Calibri" w:eastAsia="Calibri" w:hAnsi="Calibri"/>
          <w:color w:val="4A4A4A"/>
          <w:sz w:val="22"/>
          <w:szCs w:val="22"/>
        </w:rPr>
        <w:t xml:space="preserve">• Mettre des outils à disposition des trois parties : professionnels, personnes accompagnées, proches</w:t>
      </w:r>
    </w:p>
    <w:p>
      <w:pPr>
        <w:spacing w:after="60"/>
        <w:ind w:left="360"/>
      </w:pPr>
      <w:r>
        <w:rPr>
          <w:rFonts w:ascii="Calibri" w:cs="Calibri" w:eastAsia="Calibri" w:hAnsi="Calibri"/>
          <w:color w:val="4A4A4A"/>
          <w:sz w:val="22"/>
          <w:szCs w:val="22"/>
        </w:rPr>
        <w:t xml:space="preserve">• Associer l'entourage avec l'accord de la personne : partenaires, représentants légaux, proches</w:t>
      </w:r>
    </w:p>
    <w:p>
      <w:pPr>
        <w:pStyle w:val="Heading2"/>
        <w:spacing w:after="80" w:before="240"/>
        <w:rPr>
          <w:rFonts w:ascii="Calibri" w:cs="Calibri" w:eastAsia="Calibri" w:hAnsi="Calibri"/>
          <w:b/>
          <w:bCs/>
          <w:color w:val="1B3A6B"/>
          <w:sz w:val="24"/>
          <w:szCs w:val="24"/>
        </w:rPr>
      </w:pPr>
      <w:r>
        <w:t xml:space="preserve">Chapitre 3 — Travailler les représentations</w:t>
      </w:r>
    </w:p>
    <w:p>
      <w:pPr>
        <w:spacing w:after="60"/>
        <w:ind w:left="360"/>
      </w:pPr>
      <w:r>
        <w:rPr>
          <w:rFonts w:ascii="Calibri" w:cs="Calibri" w:eastAsia="Calibri" w:hAnsi="Calibri"/>
          <w:color w:val="4A4A4A"/>
          <w:sz w:val="22"/>
          <w:szCs w:val="22"/>
        </w:rPr>
        <w:t xml:space="preserve">• Les représentations des professionnels sont un frein majeur : sentiment d'illégitimité, tabous, peur du débordement</w:t>
      </w:r>
    </w:p>
    <w:p>
      <w:pPr>
        <w:spacing w:after="60"/>
        <w:ind w:left="360"/>
      </w:pPr>
      <w:r>
        <w:rPr>
          <w:rFonts w:ascii="Calibri" w:cs="Calibri" w:eastAsia="Calibri" w:hAnsi="Calibri"/>
          <w:color w:val="4A4A4A"/>
          <w:sz w:val="22"/>
          <w:szCs w:val="22"/>
        </w:rPr>
        <w:t xml:space="preserve">• Travail en équipe pluridisciplinaire : réflexion éthique régulière, supervision, analyse des pratiques</w:t>
      </w:r>
    </w:p>
    <w:p>
      <w:pPr>
        <w:spacing w:after="60"/>
        <w:ind w:left="360"/>
      </w:pPr>
      <w:r>
        <w:rPr>
          <w:rFonts w:ascii="Calibri" w:cs="Calibri" w:eastAsia="Calibri" w:hAnsi="Calibri"/>
          <w:color w:val="4A4A4A"/>
          <w:sz w:val="22"/>
          <w:szCs w:val="22"/>
        </w:rPr>
        <w:t xml:space="preserve">• Interroger les représentations des personnes accompagnées : stéréotypes intériorisés, auto-censure</w:t>
      </w:r>
    </w:p>
    <w:p>
      <w:pPr>
        <w:spacing w:after="60"/>
        <w:ind w:left="360"/>
      </w:pPr>
      <w:r>
        <w:rPr>
          <w:rFonts w:ascii="Calibri" w:cs="Calibri" w:eastAsia="Calibri" w:hAnsi="Calibri"/>
          <w:color w:val="4A4A4A"/>
          <w:sz w:val="22"/>
          <w:szCs w:val="22"/>
        </w:rPr>
        <w:t xml:space="preserve">• Mobiliser des instances dédiées : CVS, réunions d'équipe, groupes de parole</w:t>
      </w:r>
    </w:p>
    <w:p>
      <w:pPr>
        <w:pStyle w:val="Heading2"/>
        <w:spacing w:after="80" w:before="240"/>
        <w:rPr>
          <w:rFonts w:ascii="Calibri" w:cs="Calibri" w:eastAsia="Calibri" w:hAnsi="Calibri"/>
          <w:b/>
          <w:bCs/>
          <w:color w:val="1B3A6B"/>
          <w:sz w:val="24"/>
          <w:szCs w:val="24"/>
        </w:rPr>
      </w:pPr>
      <w:r>
        <w:t xml:space="preserve">Chapitre 4 — Accompagnement positif</w:t>
      </w:r>
    </w:p>
    <w:p>
      <w:pPr>
        <w:spacing w:after="60"/>
        <w:ind w:left="360"/>
      </w:pPr>
      <w:r>
        <w:rPr>
          <w:rFonts w:ascii="Calibri" w:cs="Calibri" w:eastAsia="Calibri" w:hAnsi="Calibri"/>
          <w:color w:val="4A4A4A"/>
          <w:sz w:val="22"/>
          <w:szCs w:val="22"/>
        </w:rPr>
        <w:t xml:space="preserve">• Accompagnement personnalisé : partir des attentes et désirs de la personne, respecter son rythme</w:t>
      </w:r>
    </w:p>
    <w:p>
      <w:pPr>
        <w:spacing w:after="60"/>
        <w:ind w:left="360"/>
      </w:pPr>
      <w:r>
        <w:rPr>
          <w:rFonts w:ascii="Calibri" w:cs="Calibri" w:eastAsia="Calibri" w:hAnsi="Calibri"/>
          <w:color w:val="4A4A4A"/>
          <w:sz w:val="22"/>
          <w:szCs w:val="22"/>
        </w:rPr>
        <w:t xml:space="preserve">• Favoriser la vie relationnelle : relations amicales, amoureuses, sociales</w:t>
      </w:r>
    </w:p>
    <w:p>
      <w:pPr>
        <w:spacing w:after="60"/>
        <w:ind w:left="360"/>
      </w:pPr>
      <w:r>
        <w:rPr>
          <w:rFonts w:ascii="Calibri" w:cs="Calibri" w:eastAsia="Calibri" w:hAnsi="Calibri"/>
          <w:color w:val="4A4A4A"/>
          <w:sz w:val="22"/>
          <w:szCs w:val="22"/>
        </w:rPr>
        <w:t xml:space="preserve">• Promouvoir l'expression du consentement sexuel : information adaptée, outils FALC/CAA, ateliers</w:t>
      </w:r>
    </w:p>
    <w:p>
      <w:pPr>
        <w:spacing w:after="60"/>
        <w:ind w:left="360"/>
      </w:pPr>
      <w:r>
        <w:rPr>
          <w:rFonts w:ascii="Calibri" w:cs="Calibri" w:eastAsia="Calibri" w:hAnsi="Calibri"/>
          <w:color w:val="4A4A4A"/>
          <w:sz w:val="22"/>
          <w:szCs w:val="22"/>
        </w:rPr>
        <w:t xml:space="preserve">• S'appuyer sur des ressources expertes : sexologues cliniciens, centres Intimagir, associations spécialisées</w:t>
      </w:r>
    </w:p>
    <w:p>
      <w:pPr>
        <w:spacing w:after="200"/>
      </w:pPr>
    </w:p>
    <w:p>
      <w:pPr>
        <w:pStyle w:val="Heading1"/>
        <w:spacing w:after="120" w:before="300"/>
        <w:rPr>
          <w:rFonts w:ascii="Calibri" w:cs="Calibri" w:eastAsia="Calibri" w:hAnsi="Calibri"/>
          <w:b/>
          <w:bCs/>
          <w:color w:val="1B3A6B"/>
          <w:sz w:val="28"/>
          <w:szCs w:val="28"/>
        </w:rPr>
      </w:pPr>
      <w:r>
        <w:t xml:space="preserve">✅ Recommandations principales pour les 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1B3A6B"/>
          </w:tcPr>
          <w:p>
            <w:r>
              <w:rPr>
                <w:rFonts w:ascii="Calibri" w:cs="Calibri" w:eastAsia="Calibri" w:hAnsi="Calibri"/>
                <w:b/>
                <w:bCs/>
                <w:color w:val="FFFFFF"/>
                <w:sz w:val="20"/>
                <w:szCs w:val="20"/>
              </w:rPr>
              <w:t xml:space="preserve">N°</w:t>
            </w:r>
          </w:p>
        </w:tc>
        <w:tc>
          <w:tcPr>
            <w:tcW w:type="pct" w:w="70%"/>
            <w:shd w:fill="1B3A6B"/>
          </w:tcPr>
          <w:p>
            <w:r>
              <w:rPr>
                <w:rFonts w:ascii="Calibri" w:cs="Calibri" w:eastAsia="Calibri" w:hAnsi="Calibri"/>
                <w:b/>
                <w:bCs/>
                <w:color w:val="FFFFFF"/>
                <w:sz w:val="20"/>
                <w:szCs w:val="20"/>
              </w:rPr>
              <w:t xml:space="preserve">Recommandation</w:t>
            </w:r>
          </w:p>
        </w:tc>
      </w:tr>
      <w:tr>
        <w:tc>
          <w:tcPr>
            <w:tcW w:type="pct" w:w="30%"/>
            <w:shd w:fill="F5F5F5"/>
          </w:tcPr>
          <w:p>
            <w:r>
              <w:rPr>
                <w:rFonts w:ascii="Calibri" w:cs="Calibri" w:eastAsia="Calibri" w:hAnsi="Calibri"/>
                <w:b w:val="false"/>
                <w:bCs w:val="false"/>
                <w:color w:val="4A4A4A"/>
                <w:sz w:val="20"/>
                <w:szCs w:val="20"/>
              </w:rPr>
              <w:t xml:space="preserve">R1</w:t>
            </w:r>
          </w:p>
        </w:tc>
        <w:tc>
          <w:tcPr>
            <w:tcW w:type="pct" w:w="70%"/>
          </w:tcPr>
          <w:p>
            <w:r>
              <w:rPr>
                <w:rFonts w:ascii="Calibri" w:cs="Calibri" w:eastAsia="Calibri" w:hAnsi="Calibri"/>
                <w:b w:val="false"/>
                <w:bCs w:val="false"/>
                <w:color w:val="4A4A4A"/>
                <w:sz w:val="20"/>
                <w:szCs w:val="20"/>
              </w:rPr>
              <w:t xml:space="preserve">Inscrire la VIAS comme axe explicite dans le projet d'établissement et le règlement de fonctionnement</w:t>
            </w:r>
          </w:p>
        </w:tc>
      </w:tr>
      <w:tr>
        <w:tc>
          <w:tcPr>
            <w:tcW w:type="pct" w:w="30%"/>
            <w:shd w:fill="F5F5F5"/>
          </w:tcPr>
          <w:p>
            <w:r>
              <w:rPr>
                <w:rFonts w:ascii="Calibri" w:cs="Calibri" w:eastAsia="Calibri" w:hAnsi="Calibri"/>
                <w:b w:val="false"/>
                <w:bCs w:val="false"/>
                <w:color w:val="4A4A4A"/>
                <w:sz w:val="20"/>
                <w:szCs w:val="20"/>
              </w:rPr>
              <w:t xml:space="preserve">R2</w:t>
            </w:r>
          </w:p>
        </w:tc>
        <w:tc>
          <w:tcPr>
            <w:tcW w:type="pct" w:w="70%"/>
          </w:tcPr>
          <w:p>
            <w:r>
              <w:rPr>
                <w:rFonts w:ascii="Calibri" w:cs="Calibri" w:eastAsia="Calibri" w:hAnsi="Calibri"/>
                <w:b w:val="false"/>
                <w:bCs w:val="false"/>
                <w:color w:val="4A4A4A"/>
                <w:sz w:val="20"/>
                <w:szCs w:val="20"/>
              </w:rPr>
              <w:t xml:space="preserve">Former l'ensemble des professionnels à l'accompagnement de la VIAS (formation initiale et continue)</w:t>
            </w:r>
          </w:p>
        </w:tc>
      </w:tr>
      <w:tr>
        <w:tc>
          <w:tcPr>
            <w:tcW w:type="pct" w:w="30%"/>
            <w:shd w:fill="F5F5F5"/>
          </w:tcPr>
          <w:p>
            <w:r>
              <w:rPr>
                <w:rFonts w:ascii="Calibri" w:cs="Calibri" w:eastAsia="Calibri" w:hAnsi="Calibri"/>
                <w:b w:val="false"/>
                <w:bCs w:val="false"/>
                <w:color w:val="4A4A4A"/>
                <w:sz w:val="20"/>
                <w:szCs w:val="20"/>
              </w:rPr>
              <w:t xml:space="preserve">R3</w:t>
            </w:r>
          </w:p>
        </w:tc>
        <w:tc>
          <w:tcPr>
            <w:tcW w:type="pct" w:w="70%"/>
          </w:tcPr>
          <w:p>
            <w:r>
              <w:rPr>
                <w:rFonts w:ascii="Calibri" w:cs="Calibri" w:eastAsia="Calibri" w:hAnsi="Calibri"/>
                <w:b w:val="false"/>
                <w:bCs w:val="false"/>
                <w:color w:val="4A4A4A"/>
                <w:sz w:val="20"/>
                <w:szCs w:val="20"/>
              </w:rPr>
              <w:t xml:space="preserve">Aménager ou identifier des espaces garantissant l'intimité des personnes accompagnées</w:t>
            </w:r>
          </w:p>
        </w:tc>
      </w:tr>
      <w:tr>
        <w:tc>
          <w:tcPr>
            <w:tcW w:type="pct" w:w="30%"/>
            <w:shd w:fill="F5F5F5"/>
          </w:tcPr>
          <w:p>
            <w:r>
              <w:rPr>
                <w:rFonts w:ascii="Calibri" w:cs="Calibri" w:eastAsia="Calibri" w:hAnsi="Calibri"/>
                <w:b w:val="false"/>
                <w:bCs w:val="false"/>
                <w:color w:val="4A4A4A"/>
                <w:sz w:val="20"/>
                <w:szCs w:val="20"/>
              </w:rPr>
              <w:t xml:space="preserve">R4</w:t>
            </w:r>
          </w:p>
        </w:tc>
        <w:tc>
          <w:tcPr>
            <w:tcW w:type="pct" w:w="70%"/>
          </w:tcPr>
          <w:p>
            <w:r>
              <w:rPr>
                <w:rFonts w:ascii="Calibri" w:cs="Calibri" w:eastAsia="Calibri" w:hAnsi="Calibri"/>
                <w:b w:val="false"/>
                <w:bCs w:val="false"/>
                <w:color w:val="4A4A4A"/>
                <w:sz w:val="20"/>
                <w:szCs w:val="20"/>
              </w:rPr>
              <w:t xml:space="preserve">Mettre en place une réflexion éthique institutionnelle régulière sur la VIAS (supervision, analyse des pratiques)</w:t>
            </w:r>
          </w:p>
        </w:tc>
      </w:tr>
      <w:tr>
        <w:tc>
          <w:tcPr>
            <w:tcW w:type="pct" w:w="30%"/>
            <w:shd w:fill="F5F5F5"/>
          </w:tcPr>
          <w:p>
            <w:r>
              <w:rPr>
                <w:rFonts w:ascii="Calibri" w:cs="Calibri" w:eastAsia="Calibri" w:hAnsi="Calibri"/>
                <w:b w:val="false"/>
                <w:bCs w:val="false"/>
                <w:color w:val="4A4A4A"/>
                <w:sz w:val="20"/>
                <w:szCs w:val="20"/>
              </w:rPr>
              <w:t xml:space="preserve">R5</w:t>
            </w:r>
          </w:p>
        </w:tc>
        <w:tc>
          <w:tcPr>
            <w:tcW w:type="pct" w:w="70%"/>
          </w:tcPr>
          <w:p>
            <w:r>
              <w:rPr>
                <w:rFonts w:ascii="Calibri" w:cs="Calibri" w:eastAsia="Calibri" w:hAnsi="Calibri"/>
                <w:b w:val="false"/>
                <w:bCs w:val="false"/>
                <w:color w:val="4A4A4A"/>
                <w:sz w:val="20"/>
                <w:szCs w:val="20"/>
              </w:rPr>
              <w:t xml:space="preserve">Nommer un ou des référents VIAS au sein de l'établissement</w:t>
            </w:r>
          </w:p>
        </w:tc>
      </w:tr>
      <w:tr>
        <w:tc>
          <w:tcPr>
            <w:tcW w:type="pct" w:w="30%"/>
            <w:shd w:fill="F5F5F5"/>
          </w:tcPr>
          <w:p>
            <w:r>
              <w:rPr>
                <w:rFonts w:ascii="Calibri" w:cs="Calibri" w:eastAsia="Calibri" w:hAnsi="Calibri"/>
                <w:b w:val="false"/>
                <w:bCs w:val="false"/>
                <w:color w:val="4A4A4A"/>
                <w:sz w:val="20"/>
                <w:szCs w:val="20"/>
              </w:rPr>
              <w:t xml:space="preserve">R6</w:t>
            </w:r>
          </w:p>
        </w:tc>
        <w:tc>
          <w:tcPr>
            <w:tcW w:type="pct" w:w="70%"/>
          </w:tcPr>
          <w:p>
            <w:r>
              <w:rPr>
                <w:rFonts w:ascii="Calibri" w:cs="Calibri" w:eastAsia="Calibri" w:hAnsi="Calibri"/>
                <w:b w:val="false"/>
                <w:bCs w:val="false"/>
                <w:color w:val="4A4A4A"/>
                <w:sz w:val="20"/>
                <w:szCs w:val="20"/>
              </w:rPr>
              <w:t xml:space="preserve">Élaborer des outils d'information accessibles (FALC, CAA) pour les personnes accompagnées</w:t>
            </w:r>
          </w:p>
        </w:tc>
      </w:tr>
      <w:tr>
        <w:tc>
          <w:tcPr>
            <w:tcW w:type="pct" w:w="30%"/>
            <w:shd w:fill="F5F5F5"/>
          </w:tcPr>
          <w:p>
            <w:r>
              <w:rPr>
                <w:rFonts w:ascii="Calibri" w:cs="Calibri" w:eastAsia="Calibri" w:hAnsi="Calibri"/>
                <w:b w:val="false"/>
                <w:bCs w:val="false"/>
                <w:color w:val="4A4A4A"/>
                <w:sz w:val="20"/>
                <w:szCs w:val="20"/>
              </w:rPr>
              <w:t xml:space="preserve">R7</w:t>
            </w:r>
          </w:p>
        </w:tc>
        <w:tc>
          <w:tcPr>
            <w:tcW w:type="pct" w:w="70%"/>
          </w:tcPr>
          <w:p>
            <w:r>
              <w:rPr>
                <w:rFonts w:ascii="Calibri" w:cs="Calibri" w:eastAsia="Calibri" w:hAnsi="Calibri"/>
                <w:b w:val="false"/>
                <w:bCs w:val="false"/>
                <w:color w:val="4A4A4A"/>
                <w:sz w:val="20"/>
                <w:szCs w:val="20"/>
              </w:rPr>
              <w:t xml:space="preserve">Respecter et faire respecter le droit à la confidentialité et à la vie privée concernant la VIAS</w:t>
            </w:r>
          </w:p>
        </w:tc>
      </w:tr>
      <w:tr>
        <w:tc>
          <w:tcPr>
            <w:tcW w:type="pct" w:w="30%"/>
            <w:shd w:fill="F5F5F5"/>
          </w:tcPr>
          <w:p>
            <w:r>
              <w:rPr>
                <w:rFonts w:ascii="Calibri" w:cs="Calibri" w:eastAsia="Calibri" w:hAnsi="Calibri"/>
                <w:b w:val="false"/>
                <w:bCs w:val="false"/>
                <w:color w:val="4A4A4A"/>
                <w:sz w:val="20"/>
                <w:szCs w:val="20"/>
              </w:rPr>
              <w:t xml:space="preserve">R8</w:t>
            </w:r>
          </w:p>
        </w:tc>
        <w:tc>
          <w:tcPr>
            <w:tcW w:type="pct" w:w="70%"/>
          </w:tcPr>
          <w:p>
            <w:r>
              <w:rPr>
                <w:rFonts w:ascii="Calibri" w:cs="Calibri" w:eastAsia="Calibri" w:hAnsi="Calibri"/>
                <w:b w:val="false"/>
                <w:bCs w:val="false"/>
                <w:color w:val="4A4A4A"/>
                <w:sz w:val="20"/>
                <w:szCs w:val="20"/>
              </w:rPr>
              <w:t xml:space="preserve">Intégrer la VIAS dans les projets personnalisés, avec le consentement exprès de la personne</w:t>
            </w:r>
          </w:p>
        </w:tc>
      </w:tr>
      <w:tr>
        <w:tc>
          <w:tcPr>
            <w:tcW w:type="pct" w:w="30%"/>
            <w:shd w:fill="F5F5F5"/>
          </w:tcPr>
          <w:p>
            <w:r>
              <w:rPr>
                <w:rFonts w:ascii="Calibri" w:cs="Calibri" w:eastAsia="Calibri" w:hAnsi="Calibri"/>
                <w:b w:val="false"/>
                <w:bCs w:val="false"/>
                <w:color w:val="4A4A4A"/>
                <w:sz w:val="20"/>
                <w:szCs w:val="20"/>
              </w:rPr>
              <w:t xml:space="preserve">R9</w:t>
            </w:r>
          </w:p>
        </w:tc>
        <w:tc>
          <w:tcPr>
            <w:tcW w:type="pct" w:w="70%"/>
          </w:tcPr>
          <w:p>
            <w:r>
              <w:rPr>
                <w:rFonts w:ascii="Calibri" w:cs="Calibri" w:eastAsia="Calibri" w:hAnsi="Calibri"/>
                <w:b w:val="false"/>
                <w:bCs w:val="false"/>
                <w:color w:val="4A4A4A"/>
                <w:sz w:val="20"/>
                <w:szCs w:val="20"/>
              </w:rPr>
              <w:t xml:space="preserve">Développer des partenariats avec des ressources externes : sexologues, centres Intimagir, associations</w:t>
            </w:r>
          </w:p>
        </w:tc>
      </w:tr>
      <w:tr>
        <w:tc>
          <w:tcPr>
            <w:tcW w:type="pct" w:w="30%"/>
            <w:shd w:fill="F5F5F5"/>
          </w:tcPr>
          <w:p>
            <w:r>
              <w:rPr>
                <w:rFonts w:ascii="Calibri" w:cs="Calibri" w:eastAsia="Calibri" w:hAnsi="Calibri"/>
                <w:b w:val="false"/>
                <w:bCs w:val="false"/>
                <w:color w:val="4A4A4A"/>
                <w:sz w:val="20"/>
                <w:szCs w:val="20"/>
              </w:rPr>
              <w:t xml:space="preserve">R10</w:t>
            </w:r>
          </w:p>
        </w:tc>
        <w:tc>
          <w:tcPr>
            <w:tcW w:type="pct" w:w="70%"/>
          </w:tcPr>
          <w:p>
            <w:r>
              <w:rPr>
                <w:rFonts w:ascii="Calibri" w:cs="Calibri" w:eastAsia="Calibri" w:hAnsi="Calibri"/>
                <w:b w:val="false"/>
                <w:bCs w:val="false"/>
                <w:color w:val="4A4A4A"/>
                <w:sz w:val="20"/>
                <w:szCs w:val="20"/>
              </w:rPr>
              <w:t xml:space="preserve">Associer les proches à la réflexion institutionnelle avec l'accord explicite de la personne</w:t>
            </w:r>
          </w:p>
        </w:tc>
      </w:tr>
    </w:tbl>
    <w:p>
      <w:pPr>
        <w:spacing w:after="200"/>
      </w:pPr>
    </w:p>
    <w:p>
      <w:pPr>
        <w:pStyle w:val="Heading1"/>
        <w:spacing w:after="120" w:before="300"/>
        <w:rPr>
          <w:rFonts w:ascii="Calibri" w:cs="Calibri" w:eastAsia="Calibri" w:hAnsi="Calibri"/>
          <w:b/>
          <w:bCs/>
          <w:color w:val="1B3A6B"/>
          <w:sz w:val="28"/>
          <w:szCs w:val="28"/>
        </w:rPr>
      </w:pPr>
      <w:r>
        <w:t xml:space="preserve">⚠️ Points de vigilance pour les ESSMS (foyer d'hébergement)</w:t>
      </w:r>
    </w:p>
    <w:p>
      <w:pPr>
        <w:spacing w:after="60"/>
        <w:ind w:left="360"/>
      </w:pPr>
      <w:r>
        <w:rPr>
          <w:rFonts w:ascii="Calibri" w:cs="Calibri" w:eastAsia="Calibri" w:hAnsi="Calibri"/>
          <w:color w:val="4A4A4A"/>
          <w:sz w:val="22"/>
          <w:szCs w:val="22"/>
        </w:rPr>
        <w:t xml:space="preserve">• TENSION CENTRALE : équilibre permanent entre protection de la personne et respect de ses libertés fondamentales — ne pas glisser vers le paternalisme</w:t>
      </w:r>
    </w:p>
    <w:p>
      <w:pPr>
        <w:spacing w:after="60"/>
        <w:ind w:left="360"/>
      </w:pPr>
      <w:r>
        <w:rPr>
          <w:rFonts w:ascii="Calibri" w:cs="Calibri" w:eastAsia="Calibri" w:hAnsi="Calibri"/>
          <w:color w:val="4A4A4A"/>
          <w:sz w:val="22"/>
          <w:szCs w:val="22"/>
        </w:rPr>
        <w:t xml:space="preserve">• VIE EN COLLECTIVITÉ : la vie en collectivité crée des contraintes réelles (locaux, horaires, règlements) qui nécessitent des adaptations explicites et documentées</w:t>
      </w:r>
    </w:p>
    <w:p>
      <w:pPr>
        <w:spacing w:after="60"/>
        <w:ind w:left="360"/>
      </w:pPr>
      <w:r>
        <w:rPr>
          <w:rFonts w:ascii="Calibri" w:cs="Calibri" w:eastAsia="Calibri" w:hAnsi="Calibri"/>
          <w:color w:val="4A4A4A"/>
          <w:sz w:val="22"/>
          <w:szCs w:val="22"/>
        </w:rPr>
        <w:t xml:space="preserve">• REPRÉSENTANTS LÉGAUX : risque de blocage de la famille ou du mandataire judiciaire — la RBPP rappelle que la personne conserve ses droits fondamentaux indépendamment de sa mesure de protection</w:t>
      </w:r>
    </w:p>
    <w:p>
      <w:pPr>
        <w:spacing w:after="60"/>
        <w:ind w:left="360"/>
      </w:pPr>
      <w:r>
        <w:rPr>
          <w:rFonts w:ascii="Calibri" w:cs="Calibri" w:eastAsia="Calibri" w:hAnsi="Calibri"/>
          <w:color w:val="4A4A4A"/>
          <w:sz w:val="22"/>
          <w:szCs w:val="22"/>
        </w:rPr>
        <w:t xml:space="preserve">• FORMATION : sans formation spécifique, les professionnels restent dans l'illégitimité et l'évitement — la formation n'est pas optionnelle</w:t>
      </w:r>
    </w:p>
    <w:p>
      <w:pPr>
        <w:spacing w:after="60"/>
        <w:ind w:left="360"/>
      </w:pPr>
      <w:r>
        <w:rPr>
          <w:rFonts w:ascii="Calibri" w:cs="Calibri" w:eastAsia="Calibri" w:hAnsi="Calibri"/>
          <w:color w:val="4A4A4A"/>
          <w:sz w:val="22"/>
          <w:szCs w:val="22"/>
        </w:rPr>
        <w:t xml:space="preserve">• CONSENTEMENT : complexité de l'évaluation du consentement pour les personnes avec TDI ou troubles psychiques — nécessite une approche outillée et individualisée</w:t>
      </w:r>
    </w:p>
    <w:p>
      <w:pPr>
        <w:spacing w:after="60"/>
        <w:ind w:left="360"/>
      </w:pPr>
      <w:r>
        <w:rPr>
          <w:rFonts w:ascii="Calibri" w:cs="Calibri" w:eastAsia="Calibri" w:hAnsi="Calibri"/>
          <w:color w:val="4A4A4A"/>
          <w:sz w:val="22"/>
          <w:szCs w:val="22"/>
        </w:rPr>
        <w:t xml:space="preserve">• MISE À JOUR LOI 2025 : la modification de la définition pénale du viol (Loi n°2025-1057) doit être intégrée dans les formations et protocoles de signalement</w:t>
      </w:r>
    </w:p>
    <w:p>
      <w:pPr>
        <w:spacing w:after="60"/>
        <w:ind w:left="360"/>
      </w:pPr>
      <w:r>
        <w:rPr>
          <w:rFonts w:ascii="Calibri" w:cs="Calibri" w:eastAsia="Calibri" w:hAnsi="Calibri"/>
          <w:color w:val="4A4A4A"/>
          <w:sz w:val="22"/>
          <w:szCs w:val="22"/>
        </w:rPr>
        <w:t xml:space="preserve">• VOLET 2 : la RBPP est incomplète — le Volet 2 (outils pratiques par public) est en cours d'élaboration ; ne pas attendre sa parution pour agir sur les fondamentaux du Volet 1</w:t>
      </w:r>
    </w:p>
    <w:p>
      <w:pPr>
        <w:spacing w:after="200"/>
      </w:pPr>
    </w:p>
    <w:p>
      <w:pPr>
        <w:pStyle w:val="Heading1"/>
        <w:spacing w:after="120" w:before="300"/>
        <w:rPr>
          <w:rFonts w:ascii="Calibri" w:cs="Calibri" w:eastAsia="Calibri" w:hAnsi="Calibri"/>
          <w:b/>
          <w:bCs/>
          <w:color w:val="1B3A6B"/>
          <w:sz w:val="28"/>
          <w:szCs w:val="28"/>
        </w:rPr>
      </w:pPr>
      <w:r>
        <w:t xml:space="preserve">🏥 Liens avec l'évaluation HAS et SERAFIN-PH</w:t>
      </w:r>
    </w:p>
    <w:p>
      <w:pPr>
        <w:spacing w:after="60"/>
        <w:ind w:left="360"/>
      </w:pPr>
      <w:r>
        <w:rPr>
          <w:rFonts w:ascii="Calibri" w:cs="Calibri" w:eastAsia="Calibri" w:hAnsi="Calibri"/>
          <w:color w:val="4A4A4A"/>
          <w:sz w:val="22"/>
          <w:szCs w:val="22"/>
        </w:rPr>
        <w:t xml:space="preserve">• ÉVALUATION HAS : cette RBPP est directement mobilisable dans les critères relatifs aux droits des personnes (rubrique 1 du référentiel), à la personnalisation de l'accompagnement et à la bientraitance</w:t>
      </w:r>
    </w:p>
    <w:p>
      <w:pPr>
        <w:spacing w:after="60"/>
        <w:ind w:left="360"/>
      </w:pPr>
      <w:r>
        <w:rPr>
          <w:rFonts w:ascii="Calibri" w:cs="Calibri" w:eastAsia="Calibri" w:hAnsi="Calibri"/>
          <w:color w:val="4A4A4A"/>
          <w:sz w:val="22"/>
          <w:szCs w:val="22"/>
        </w:rPr>
        <w:t xml:space="preserve">• SERAFIN-PH : la VIAS s'inscrit dans les prestations de soutien à l'autonomie et à la vie sociale (nomenclature SERAFIN-PH) — penser dès maintenant la traçabilité dans le DUI</w:t>
      </w:r>
    </w:p>
    <w:p>
      <w:pPr>
        <w:spacing w:after="60"/>
        <w:ind w:left="360"/>
      </w:pPr>
      <w:r>
        <w:rPr>
          <w:rFonts w:ascii="Calibri" w:cs="Calibri" w:eastAsia="Calibri" w:hAnsi="Calibri"/>
          <w:color w:val="4A4A4A"/>
          <w:sz w:val="22"/>
          <w:szCs w:val="22"/>
        </w:rPr>
        <w:t xml:space="preserve">• PROJET PERSONNALISÉ : la VIAS doit figurer comme dimension à part entière du projet de vie, tracée dans Imago</w:t>
      </w:r>
    </w:p>
    <w:p>
      <w:pPr>
        <w:spacing w:after="200"/>
      </w:pPr>
    </w:p>
    <w:p>
      <w:pPr>
        <w:pStyle w:val="Heading1"/>
        <w:spacing w:after="120" w:before="300"/>
        <w:rPr>
          <w:rFonts w:ascii="Calibri" w:cs="Calibri" w:eastAsia="Calibri" w:hAnsi="Calibri"/>
          <w:b/>
          <w:bCs/>
          <w:color w:val="1B3A6B"/>
          <w:sz w:val="28"/>
          <w:szCs w:val="28"/>
        </w:rPr>
      </w:pPr>
      <w:r>
        <w:t xml:space="preserve">📚 Sources</w:t>
      </w:r>
    </w:p>
    <w:p>
      <w:pPr>
        <w:spacing w:after="60"/>
        <w:ind w:left="360"/>
      </w:pPr>
      <w:r>
        <w:rPr>
          <w:rFonts w:ascii="Calibri" w:cs="Calibri" w:eastAsia="Calibri" w:hAnsi="Calibri"/>
          <w:color w:val="4A4A4A"/>
          <w:sz w:val="22"/>
          <w:szCs w:val="22"/>
        </w:rPr>
        <w:t xml:space="preserve">• HAS — Accompagner la vie intime, affective et sexuelle des personnes en ESSMS. Volet 1 – Socle transversal. Validé CSMS le 14/01/2025. Mis à jour 14/11/2025.</w:t>
      </w:r>
    </w:p>
    <w:p>
      <w:pPr>
        <w:spacing w:after="60"/>
        <w:ind w:left="360"/>
      </w:pPr>
      <w:r>
        <w:rPr>
          <w:rFonts w:ascii="Calibri" w:cs="Calibri" w:eastAsia="Calibri" w:hAnsi="Calibri"/>
          <w:color w:val="4A4A4A"/>
          <w:sz w:val="22"/>
          <w:szCs w:val="22"/>
        </w:rPr>
        <w:t xml:space="preserve">• URL : https://www.has-sante.fr/jcms/p_3590098/fr/accompagner-la-vie-intime-affective-et-sexuelle-des-personnes-en-essms-volet-1-socle-transversal</w:t>
      </w:r>
    </w:p>
    <w:p>
      <w:pPr>
        <w:spacing w:after="60"/>
        <w:ind w:left="360"/>
      </w:pPr>
      <w:r>
        <w:rPr>
          <w:rFonts w:ascii="Calibri" w:cs="Calibri" w:eastAsia="Calibri" w:hAnsi="Calibri"/>
          <w:color w:val="4A4A4A"/>
          <w:sz w:val="22"/>
          <w:szCs w:val="22"/>
        </w:rPr>
        <w:t xml:space="preserve">• PDF source : https://www.has-sante.fr/upload/docs/application/pdf/2025-02/accompagner_la_vie_intime_affective_et_sexuelle_des_personnes_en_essms._volet_1_socle_transversal_rbpp.pdf</w:t>
      </w:r>
    </w:p>
    <w:p>
      <w:pPr>
        <w:spacing w:after="60"/>
        <w:ind w:left="360"/>
      </w:pPr>
      <w:r>
        <w:rPr>
          <w:rFonts w:ascii="Calibri" w:cs="Calibri" w:eastAsia="Calibri" w:hAnsi="Calibri"/>
          <w:color w:val="4A4A4A"/>
          <w:sz w:val="22"/>
          <w:szCs w:val="22"/>
        </w:rPr>
        <w:t xml:space="preserve">• Loi n°2025-1057 du 6 novembre 2025 modifiant la définition pénale du viol et des agressions sexuelles</w:t>
      </w:r>
    </w:p>
    <w:p>
      <w:pPr>
        <w:spacing w:after="60"/>
        <w:ind w:left="360"/>
      </w:pPr>
      <w:r>
        <w:rPr>
          <w:rFonts w:ascii="Calibri" w:cs="Calibri" w:eastAsia="Calibri" w:hAnsi="Calibri"/>
          <w:color w:val="4A4A4A"/>
          <w:sz w:val="22"/>
          <w:szCs w:val="22"/>
        </w:rPr>
        <w:t xml:space="preserve">• CASF — Article L. 312-1 (liste des ESSMS) et Article D. 142-1-1 (objectifs du travail social)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2026-06-22T06:35:05.124Z</dcterms:created>
  <dcterms:modified xsi:type="dcterms:W3CDTF">2026-06-22T06:35:05.142Z</dcterms:modified>
</cp:coreProperties>
</file>

<file path=docProps/custom.xml><?xml version="1.0" encoding="utf-8"?>
<Properties xmlns="http://schemas.openxmlformats.org/officeDocument/2006/custom-properties" xmlns:vt="http://schemas.openxmlformats.org/officeDocument/2006/docPropsVTypes"/>
</file>