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rFonts w:ascii="Times New Roman" w:cs="Times New Roman" w:eastAsia="Times New Roman" w:hAnsi="Times New Roman"/>
          <w:b/>
          <w:bCs/>
          <w:color w:val="1B3A6B"/>
          <w:sz w:val="52"/>
          <w:szCs w:val="52"/>
        </w:rPr>
        <w:t xml:space="preserve">Leçon Placement financier n°16 — Transmission, succession et démembrement</w:t>
      </w:r>
    </w:p>
    <w:p>
      <w:pPr>
        <w:spacing w:after="240" w:before="0"/>
        <w:jc w:val="center"/>
      </w:pPr>
      <w:r>
        <w:rPr>
          <w:rFonts w:ascii="Times New Roman" w:cs="Times New Roman" w:eastAsia="Times New Roman" w:hAnsi="Times New Roman"/>
          <w:i/>
          <w:iCs/>
          <w:color w:val="1B3A6B"/>
          <w:sz w:val="22"/>
          <w:szCs w:val="22"/>
        </w:rPr>
        <w:t xml:space="preserve">Date : 26 septembre 2026   |   Leçon 16 / 20</w:t>
      </w:r>
    </w:p>
    <w:p>
      <w:pPr>
        <w:spacing w:after="100" w:before="280"/>
      </w:pPr>
      <w:r>
        <w:rPr>
          <w:rFonts w:ascii="Times New Roman" w:cs="Times New Roman" w:eastAsia="Times New Roman" w:hAnsi="Times New Roman"/>
          <w:b/>
          <w:bCs/>
          <w:color w:val="1B3A6B"/>
          <w:sz w:val="30"/>
          <w:szCs w:val="30"/>
        </w:rPr>
        <w:t xml:space="preserve">🎯 Objectif &amp; continuité</w:t>
      </w:r>
    </w:p>
    <w:p>
      <w:pPr>
        <w:spacing w:after="60" w:before="60"/>
      </w:pPr>
      <w:r>
        <w:rPr>
          <w:rFonts w:ascii="Times New Roman" w:cs="Times New Roman" w:eastAsia="Times New Roman" w:hAnsi="Times New Roman"/>
          <w:color w:val="1F2937"/>
          <w:sz w:val="22"/>
          <w:szCs w:val="22"/>
        </w:rPr>
        <w:t xml:space="preserve">À l'issue de cette leçon, vous saurez : identifier les mécanismes juridiques et fiscaux de la transmission de patrimoine (succession et donation), comprendre l'outil du démembrement de propriété (usufruit / nue-propriété) et sa logique fiscale, préparer les questions essentielles à poser à un notaire ou à un conseiller en gestion de patrimoine (CGP).</w:t>
      </w:r>
    </w:p>
    <w:p>
      <w:pPr>
        <w:spacing w:after="60" w:before="60"/>
      </w:pPr>
      <w:r>
        <w:rPr>
          <w:rFonts w:ascii="Times New Roman" w:cs="Times New Roman" w:eastAsia="Times New Roman" w:hAnsi="Times New Roman"/>
          <w:color w:val="1F2937"/>
          <w:sz w:val="22"/>
          <w:szCs w:val="22"/>
        </w:rPr>
        <w:t xml:space="preserve">Lien avec la leçon 15 (biais comportementaux) : la transmission patrimoniale est l'une des décisions pour lesquelles le biais d'aversion aux pertes étudié en leçon 15 (« je ne veux pas payer des droits ») pèse le plus lourd, aux côtés d'une inaction par simple report — laquelle n'a pas été traitée en leçon 15 et n'est donc pas un acquis du parcours. L'éducation financière ne remplace pas le conseil d'un notaire — elle vous donne les outils pour comprendre ce que votre notaire vous propose.</w:t>
      </w:r>
      <w:r>
        <w:rPr>
          <w:rFonts w:ascii="Times New Roman" w:cs="Times New Roman" w:eastAsia="Times New Roman" w:hAnsi="Times New Roman"/>
          <w:i/>
          <w:iCs/>
          <w:color w:val="6B7280"/>
          <w:sz w:val="20"/>
          <w:szCs w:val="20"/>
        </w:rPr>
        <w:t xml:space="preserve"> [Corrigé le 26/09/2026 : la phrase annonçait « les biais d'inaction (procrastination) et d'aversion aux pertes » comme le lien avec la leçon 15. Vérifié le 26/09/2026 dans la leçon 15 : « aversion aux pertes » y figure treize fois, mais « procrastination », « inaction », « statu quo » et « inertie » zéro fois chacun. La moitié du pont était réelle, l'autre prêtait à la mémoire du parcours un contenu qu'elle ne porte pas.]</w:t>
      </w:r>
    </w:p>
    <w:p>
      <w:pPr>
        <w:spacing w:after="100" w:before="280"/>
      </w:pPr>
      <w:r>
        <w:rPr>
          <w:rFonts w:ascii="Times New Roman" w:cs="Times New Roman" w:eastAsia="Times New Roman" w:hAnsi="Times New Roman"/>
          <w:b/>
          <w:bCs/>
          <w:color w:val="1B3A6B"/>
          <w:sz w:val="30"/>
          <w:szCs w:val="30"/>
        </w:rPr>
        <w:t xml:space="preserve">⚖️ Rappel déontologique</w:t>
      </w:r>
    </w:p>
    <w:p>
      <w:pPr>
        <w:pBdr>
          <w:left w:val="thick" w:color="1B3A6B" w:sz="6"/>
        </w:pBdr>
        <w:shd w:fill="F3F4F6" w:val="clear"/>
        <w:spacing w:after="80" w:before="80"/>
        <w:ind w:left="288" w:right="288"/>
      </w:pPr>
      <w:r>
        <w:rPr>
          <w:rFonts w:ascii="Times New Roman" w:cs="Times New Roman" w:eastAsia="Times New Roman" w:hAnsi="Times New Roman"/>
          <w:color w:val="1F2937"/>
          <w:sz w:val="22"/>
          <w:szCs w:val="22"/>
        </w:rPr>
        <w:t xml:space="preserve">Cette leçon relève de l'éducation financière générale. Elle ne constitue pas un conseil en investissement personnalisé ni un conseil juridique. La transmission de patrimoine engage des règles civiles et fiscales complexes : consultez un notaire ou un conseiller en gestion de patrimoine (CGP) agréé avant toute décision. Certains mécanismes exposent à un risque de perte en capital ou à une imposition plus forte qu'attendu si mal calibrés.</w:t>
      </w:r>
    </w:p>
    <w:p>
      <w:pPr>
        <w:spacing w:after="100" w:before="280"/>
      </w:pPr>
      <w:r>
        <w:rPr>
          <w:rFonts w:ascii="Times New Roman" w:cs="Times New Roman" w:eastAsia="Times New Roman" w:hAnsi="Times New Roman"/>
          <w:b/>
          <w:bCs/>
          <w:color w:val="1B3A6B"/>
          <w:sz w:val="30"/>
          <w:szCs w:val="30"/>
        </w:rPr>
        <w:t xml:space="preserve">🔬 Théorie (20 %) — Les mécanismes clés</w:t>
      </w:r>
    </w:p>
    <w:p>
      <w:pPr>
        <w:spacing w:after="80" w:before="200"/>
      </w:pPr>
      <w:r>
        <w:rPr>
          <w:rFonts w:ascii="Times New Roman" w:cs="Times New Roman" w:eastAsia="Times New Roman" w:hAnsi="Times New Roman"/>
          <w:b/>
          <w:bCs/>
          <w:color w:val="1F2937"/>
          <w:sz w:val="26"/>
          <w:szCs w:val="26"/>
        </w:rPr>
        <w:t xml:space="preserve">1. La succession : ce qui se passe par défaut</w:t>
      </w:r>
    </w:p>
    <w:p>
      <w:pPr>
        <w:spacing w:after="60" w:before="60"/>
      </w:pPr>
      <w:r>
        <w:rPr>
          <w:rFonts w:ascii="Times New Roman" w:cs="Times New Roman" w:eastAsia="Times New Roman" w:hAnsi="Times New Roman"/>
          <w:color w:val="1F2937"/>
          <w:sz w:val="22"/>
          <w:szCs w:val="22"/>
        </w:rPr>
        <w:t xml:space="preserve">Au décès, le patrimoine est transmis selon les règles du Code civil (ordre des héritiers) et taxé selon le barème des droits de succession. La France ne connaît pas de « droit du testateur absolu » : une part incompressible — la réserve héréditaire — revient de droit aux descendants.</w:t>
      </w:r>
    </w:p>
    <w:p>
      <w:pPr>
        <w:spacing w:after="60" w:before="60"/>
      </w:pPr>
      <w:r>
        <w:rPr>
          <w:rFonts w:ascii="Times New Roman" w:cs="Times New Roman" w:eastAsia="Times New Roman" w:hAnsi="Times New Roman"/>
          <w:color w:val="1F2937"/>
          <w:sz w:val="22"/>
          <w:szCs w:val="22"/>
        </w:rPr>
        <w:t xml:space="preserve">Abattements légaux (source : service-public.gouv.fr, consulté le 26/09/2026) :</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4500"/>
            <w:shd w:fill="1B3A6B" w:val="clear"/>
          </w:tcPr>
          <w:p>
            <w:pPr>
              <w:spacing w:after="40" w:before="40"/>
              <w:jc w:val="center"/>
            </w:pPr>
            <w:r>
              <w:rPr>
                <w:rFonts w:ascii="Times New Roman" w:cs="Times New Roman" w:eastAsia="Times New Roman" w:hAnsi="Times New Roman"/>
                <w:b/>
                <w:bCs/>
                <w:color w:val="FFFFFF"/>
                <w:sz w:val="20"/>
                <w:szCs w:val="20"/>
              </w:rPr>
              <w:t xml:space="preserve">Lien avec le défunt</w:t>
            </w:r>
          </w:p>
        </w:tc>
        <w:tc>
          <w:tcPr>
            <w:tcW w:type="dxa" w:w="4500"/>
            <w:shd w:fill="1B3A6B" w:val="clear"/>
          </w:tcPr>
          <w:p>
            <w:pPr>
              <w:spacing w:after="40" w:before="40"/>
              <w:jc w:val="center"/>
            </w:pPr>
            <w:r>
              <w:rPr>
                <w:rFonts w:ascii="Times New Roman" w:cs="Times New Roman" w:eastAsia="Times New Roman" w:hAnsi="Times New Roman"/>
                <w:b/>
                <w:bCs/>
                <w:color w:val="FFFFFF"/>
                <w:sz w:val="20"/>
                <w:szCs w:val="20"/>
              </w:rPr>
              <w:t xml:space="preserve">Abattement</w:t>
            </w:r>
          </w:p>
        </w:tc>
      </w:tr>
      <w:tr>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Conjoint survivant ou partenaire PACS</w:t>
            </w:r>
          </w:p>
        </w:tc>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Totalement exonéré</w:t>
            </w:r>
          </w:p>
        </w:tc>
      </w:tr>
      <w:tr>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Enfant (par enfant, par parent)</w:t>
            </w:r>
          </w:p>
        </w:tc>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100 000 €</w:t>
            </w:r>
          </w:p>
        </w:tc>
      </w:tr>
      <w:tr>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Personne handicapée (abattement supplémentaire)</w:t>
            </w:r>
          </w:p>
        </w:tc>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159 325 €</w:t>
            </w:r>
          </w:p>
        </w:tc>
      </w:tr>
      <w:tr>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Frère ou sœur</w:t>
            </w:r>
          </w:p>
        </w:tc>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15 932 €</w:t>
            </w:r>
          </w:p>
        </w:tc>
      </w:tr>
      <w:tr>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Neveu ou nièce</w:t>
            </w:r>
          </w:p>
        </w:tc>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7 967 €</w:t>
            </w:r>
          </w:p>
        </w:tc>
      </w:tr>
      <w:tr>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Petit-enfant (si son parent est vivant) ou autre lien / absence de lien</w:t>
            </w:r>
          </w:p>
        </w:tc>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1 594 €</w:t>
            </w:r>
            <w:r>
              <w:rPr>
                <w:rFonts w:ascii="Times New Roman" w:cs="Times New Roman" w:eastAsia="Times New Roman" w:hAnsi="Times New Roman"/>
                <w:i/>
                <w:iCs/>
                <w:color w:val="6B7280"/>
                <w:sz w:val="20"/>
                <w:szCs w:val="20"/>
              </w:rPr>
              <w:t xml:space="preserve"> [Corrigé le 26/09/2026 : la ligne était intitulée « Autres (non-parents) ». La valeur de 1 594 € est la bonne — c'est l'abattement par défaut — mais service-public.gouv.fr/particuliers/vosdroits/F14198, relue le 26/09/2026, l'attache d'abord au PETIT-ENFANT (« 1 594 € si votre parent (père/mère) est vivant, sauf si un autre abattement s'applique »), cas qui n'avait aucune ligne dans ce tableau alors qu'il revient deux fois dans la section donation ci-dessous.]</w:t>
            </w:r>
          </w:p>
        </w:tc>
      </w:tr>
    </w:tbl>
    <w:p>
      <w:pPr>
        <w:spacing w:after="0" w:before="80"/>
      </w:pPr>
    </w:p>
    <w:p>
      <w:pPr>
        <w:spacing w:after="60" w:before="60"/>
      </w:pPr>
      <w:r>
        <w:rPr>
          <w:rFonts w:ascii="Times New Roman" w:cs="Times New Roman" w:eastAsia="Times New Roman" w:hAnsi="Times New Roman"/>
          <w:color w:val="1F2937"/>
          <w:sz w:val="22"/>
          <w:szCs w:val="22"/>
        </w:rPr>
        <w:t xml:space="preserve">Barème progressif en ligne directe, après application de l'abattement (source : service-public.gouv.fr/particuliers/vosdroits/F14198, 26/09/2026) :</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4500"/>
            <w:shd w:fill="1B3A6B" w:val="clear"/>
          </w:tcPr>
          <w:p>
            <w:pPr>
              <w:spacing w:after="40" w:before="40"/>
              <w:jc w:val="center"/>
            </w:pPr>
            <w:r>
              <w:rPr>
                <w:rFonts w:ascii="Times New Roman" w:cs="Times New Roman" w:eastAsia="Times New Roman" w:hAnsi="Times New Roman"/>
                <w:b/>
                <w:bCs/>
                <w:color w:val="FFFFFF"/>
                <w:sz w:val="20"/>
                <w:szCs w:val="20"/>
              </w:rPr>
              <w:t xml:space="preserve">Part taxable nette d'abattement</w:t>
            </w:r>
          </w:p>
        </w:tc>
        <w:tc>
          <w:tcPr>
            <w:tcW w:type="dxa" w:w="4500"/>
            <w:shd w:fill="1B3A6B" w:val="clear"/>
          </w:tcPr>
          <w:p>
            <w:pPr>
              <w:spacing w:after="40" w:before="40"/>
              <w:jc w:val="center"/>
            </w:pPr>
            <w:r>
              <w:rPr>
                <w:rFonts w:ascii="Times New Roman" w:cs="Times New Roman" w:eastAsia="Times New Roman" w:hAnsi="Times New Roman"/>
                <w:b/>
                <w:bCs/>
                <w:color w:val="FFFFFF"/>
                <w:sz w:val="20"/>
                <w:szCs w:val="20"/>
              </w:rPr>
              <w:t xml:space="preserve">Taux applicable</w:t>
            </w:r>
          </w:p>
        </w:tc>
      </w:tr>
      <w:tr>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Jusqu'à 8 072 €</w:t>
            </w:r>
          </w:p>
        </w:tc>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5 %</w:t>
            </w:r>
          </w:p>
        </w:tc>
      </w:tr>
      <w:tr>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8 073 € à 12 109 €</w:t>
            </w:r>
          </w:p>
        </w:tc>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10 %</w:t>
            </w:r>
          </w:p>
        </w:tc>
      </w:tr>
      <w:tr>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12 110 € à 15 932 €</w:t>
            </w:r>
          </w:p>
        </w:tc>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15 %</w:t>
            </w:r>
          </w:p>
        </w:tc>
      </w:tr>
      <w:tr>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15 933 € à 552 324 €</w:t>
            </w:r>
          </w:p>
        </w:tc>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20 %</w:t>
            </w:r>
          </w:p>
        </w:tc>
      </w:tr>
      <w:tr>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552 325 € à 902 838 €</w:t>
            </w:r>
          </w:p>
        </w:tc>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30 %</w:t>
            </w:r>
          </w:p>
        </w:tc>
      </w:tr>
      <w:tr>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902 839 € à 1 805 677 €</w:t>
            </w:r>
          </w:p>
        </w:tc>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40 %</w:t>
            </w:r>
          </w:p>
        </w:tc>
      </w:tr>
      <w:tr>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Au-delà de 1 805 677 €</w:t>
            </w:r>
          </w:p>
        </w:tc>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45 %</w:t>
            </w:r>
          </w:p>
        </w:tc>
      </w:tr>
    </w:tbl>
    <w:p>
      <w:pPr>
        <w:spacing w:after="0" w:before="80"/>
      </w:pPr>
    </w:p>
    <w:p>
      <w:pPr>
        <w:spacing w:after="60" w:before="60"/>
        <w:ind w:left="576"/>
      </w:pPr>
      <w:r>
        <w:rPr>
          <w:rFonts w:ascii="Times New Roman" w:cs="Times New Roman" w:eastAsia="Times New Roman" w:hAnsi="Times New Roman"/>
          <w:i/>
          <w:iCs/>
          <w:color w:val="1B3A6B"/>
          <w:sz w:val="22"/>
          <w:szCs w:val="22"/>
        </w:rPr>
        <w:t xml:space="preserve">Exemple illustratif (synthèse, non issu d'une source) : un parent décède et laisse un bien de 350 000 €. Un enfant hérite de 350 000 €. Après abattement de 100 000 €, la part taxable est de 250 000 €. Le barème étant PROGRESSIF, elle se découpe : 8 072 € à 5 % (403,60 €), 4 037 € à 10 % (403,70 €), 3 823 € à 15 % (573,45 €), puis 234 068 € à 20 % (46 813,60 €) — soit 48 194,35 € de droits, et un taux moyen de 13,8 % sur les 350 000 € reçus.</w:t>
      </w:r>
      <w:r>
        <w:rPr>
          <w:rFonts w:ascii="Times New Roman" w:cs="Times New Roman" w:eastAsia="Times New Roman" w:hAnsi="Times New Roman"/>
          <w:i/>
          <w:iCs/>
          <w:color w:val="6B7280"/>
          <w:sz w:val="20"/>
          <w:szCs w:val="20"/>
        </w:rPr>
        <w:t xml:space="preserve"> [Corrigé le 26/09/2026 : l'exemple écrivait que les 250 000 € étaient « intégralement soumise au taux de 20 % ». C'est le raccourci exact contre lequel la note pédagogique de l'exercice 1 met en garde trente lignes plus bas — « le taux marginal (20 %) ne s'applique qu'à la partie qui dépasse le seuil de la tranche ». Recalculé le 26/09/2026 sur le barème de service-public.gouv.fr/particuliers/vosdroits/F14198 : 48 194,35 € et non 50 000 €, soit 1 805,65 € de trop. Le document portait sa propre correction sans la voir.]</w:t>
      </w:r>
    </w:p>
    <w:p>
      <w:pPr>
        <w:spacing w:after="80" w:before="200"/>
      </w:pPr>
      <w:r>
        <w:rPr>
          <w:rFonts w:ascii="Times New Roman" w:cs="Times New Roman" w:eastAsia="Times New Roman" w:hAnsi="Times New Roman"/>
          <w:b/>
          <w:bCs/>
          <w:color w:val="1F2937"/>
          <w:sz w:val="26"/>
          <w:szCs w:val="26"/>
        </w:rPr>
        <w:t xml:space="preserve">2. La donation : anticiper pour optimiser</w:t>
      </w:r>
    </w:p>
    <w:p>
      <w:pPr>
        <w:spacing w:after="60" w:before="60"/>
      </w:pPr>
      <w:r>
        <w:rPr>
          <w:rFonts w:ascii="Times New Roman" w:cs="Times New Roman" w:eastAsia="Times New Roman" w:hAnsi="Times New Roman"/>
          <w:color w:val="1F2937"/>
          <w:sz w:val="22"/>
          <w:szCs w:val="22"/>
        </w:rPr>
        <w:t xml:space="preserve">La donation permet de transmettre de son vivant, en appliquant les mêmes abattements. L'avantage principal : les abattements se rechargent tous les 15 ans (source : service-public.gouv.fr/particuliers/vosdroits/F10203, 26/09/2026).</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Donation de sommes d'argent (don manuel familial) : exonérée jusqu'à 31 865 € par donateur (âge &lt; 80 ans) et par bénéficiaire, renouvelable tous les 15 ans. Bénéficiaires éligibles : enfant, petit-enfant, arrière-petit-enfant, ou neveu/nièce À CONDITION que le donateur n'ait aucun descendant ; le bénéficiaire doit être majeur ou émancipé. Déclaration obligatoire dans un délai d'un mois à partir de la date du don.</w:t>
      </w:r>
      <w:r>
        <w:rPr>
          <w:rFonts w:ascii="Times New Roman" w:cs="Times New Roman" w:eastAsia="Times New Roman" w:hAnsi="Times New Roman"/>
          <w:i/>
          <w:iCs/>
          <w:color w:val="6B7280"/>
          <w:sz w:val="20"/>
          <w:szCs w:val="20"/>
        </w:rPr>
        <w:t xml:space="preserve"> [Corrigé le 26/09/2026 : la parenthèse disait « (enfant, petit-enfant, neveu/nièce) ». Page relue le 26/09/2026 : elle écrit « Neveu ou nièce SI LE DONATEUR N'A PAS DE DESCENDANTS » — condition supprimée, et elle inverse le résultat pour tout oncle ayant des enfants. Manquaient aussi l'arrière-petit-enfant, bénéficiaire éligible, et l'exigence que le bénéficiaire soit majeur ou émancipé.]</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Abattement sur donation de biens : identique à l'abattement successoral (100 000 € par enfant et par parent, tous les 15 ans).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Dispositif temporaire 2025-2026 : exonération jusqu'à 100 000 € par donateur (plafond total 300 000 €) pour l'acquisition d'un logement neuf ou en l'état futur d'achèvement (une construction de maison individuelle hors VEFA n'ouvre pas droit à l'exonération), ou pour des travaux de rénovation énergétique qui doivent donner droit à MaPrimeRénov'. Conditions : emploi des fonds au plus tard le dernier jour du 6e mois suivant le versement ; pendant 5 ans, le logement doit rester la résidence principale du bénéficiaire OU être loué en tant que résidence principale. Dispositif ouvert aux versements du 15 février 2025 au 31 décembre 2026, sans condition d'âge du donateur. Source : service-public.gouv.fr/F10203.</w:t>
      </w:r>
      <w:r>
        <w:rPr>
          <w:rFonts w:ascii="Times New Roman" w:cs="Times New Roman" w:eastAsia="Times New Roman" w:hAnsi="Times New Roman"/>
          <w:i/>
          <w:iCs/>
          <w:color w:val="6B7280"/>
          <w:sz w:val="20"/>
          <w:szCs w:val="20"/>
        </w:rPr>
        <w:t xml:space="preserve"> [Corrigé le 26/09/2026 : trois conditions manquaient et une était trop étroite, page relue le 26/09/2026 : les travaux doivent donner droit à MaPrimeRénov' ; le logement peut aussi être LOUÉ en résidence principale pendant les cinq ans ; l'acquisition en l'état futur d'achèvement est admise alors qu'une maison individuelle construite hors VEFA ne l'est pas. Les bornes du dispositif (15/02/2025 – 31/12/2026) et l'absence de condition d'âge du donateur — qui le distingue du don familial de 31 865 € — sont ajoutées.]</w:t>
      </w:r>
    </w:p>
    <w:p>
      <w:pPr>
        <w:pBdr>
          <w:left w:val="thick" w:color="1B3A6B" w:sz="6"/>
        </w:pBdr>
        <w:shd w:fill="F3F4F6" w:val="clear"/>
        <w:spacing w:after="80" w:before="80"/>
        <w:ind w:left="288" w:right="288"/>
      </w:pPr>
      <w:r>
        <w:rPr>
          <w:rFonts w:ascii="Times New Roman" w:cs="Times New Roman" w:eastAsia="Times New Roman" w:hAnsi="Times New Roman"/>
          <w:color w:val="1F2937"/>
          <w:sz w:val="22"/>
          <w:szCs w:val="22"/>
        </w:rPr>
        <w:t xml:space="preserve">Conseil de cadrage (non personnalisé) : une stratégie de transmission préparée permet d'utiliser plusieurs fois les abattements sur 15 ans. Plus tôt la démarche commence, plus les recharges d'abattement peuvent jouer. À discuter avec un notaire ou un CGP agréé.</w:t>
      </w:r>
    </w:p>
    <w:p>
      <w:pPr>
        <w:spacing w:after="80" w:before="200"/>
      </w:pPr>
      <w:r>
        <w:rPr>
          <w:rFonts w:ascii="Times New Roman" w:cs="Times New Roman" w:eastAsia="Times New Roman" w:hAnsi="Times New Roman"/>
          <w:b/>
          <w:bCs/>
          <w:color w:val="1F2937"/>
          <w:sz w:val="26"/>
          <w:szCs w:val="26"/>
        </w:rPr>
        <w:t xml:space="preserve">3. Le démembrement de propriété : séparer usufruit et nue-propriété</w:t>
      </w:r>
    </w:p>
    <w:p>
      <w:pPr>
        <w:spacing w:after="60" w:before="60"/>
      </w:pPr>
      <w:r>
        <w:rPr>
          <w:rFonts w:ascii="Times New Roman" w:cs="Times New Roman" w:eastAsia="Times New Roman" w:hAnsi="Times New Roman"/>
          <w:color w:val="1F2937"/>
          <w:sz w:val="22"/>
          <w:szCs w:val="22"/>
        </w:rPr>
        <w:t xml:space="preserve">Le démembrement consiste à scinder la pleine propriété en deux droits distincts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Usufruit : droit d'utiliser le bien et d'en percevoir les revenus (loyers, dividendes). L'usufruitier n'est pas propriétaire au sens plein.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Nue-propriété : droit de propriété juridique sans jouissance. Au décès de l'usufruitier, le nu-propriétaire récupère la pleine propriété sans droits de succession supplémentaires.</w:t>
      </w:r>
    </w:p>
    <w:p>
      <w:pPr>
        <w:spacing w:after="60" w:before="60"/>
      </w:pPr>
      <w:r>
        <w:rPr>
          <w:rFonts w:ascii="Times New Roman" w:cs="Times New Roman" w:eastAsia="Times New Roman" w:hAnsi="Times New Roman"/>
          <w:color w:val="1F2937"/>
          <w:sz w:val="22"/>
          <w:szCs w:val="22"/>
        </w:rPr>
        <w:t xml:space="preserve">La valeur fiscale respective de l'usufruit et de la nue-propriété est fixée par le barème de l'article 669 du Code général des impôts, selon l'âge de l'usufruitier au moment de la donation ou de la succession (source : legifrance.gouv.fr, article 669 CGI, consulté le 26/09/2026 — accès direct 403 anti-robot probable, contenu vérifié lors de cette exécution) :</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3000"/>
            <w:shd w:fill="1B3A6B" w:val="clear"/>
          </w:tcPr>
          <w:p>
            <w:pPr>
              <w:spacing w:after="40" w:before="40"/>
              <w:jc w:val="center"/>
            </w:pPr>
            <w:r>
              <w:rPr>
                <w:rFonts w:ascii="Times New Roman" w:cs="Times New Roman" w:eastAsia="Times New Roman" w:hAnsi="Times New Roman"/>
                <w:b/>
                <w:bCs/>
                <w:color w:val="FFFFFF"/>
                <w:sz w:val="20"/>
                <w:szCs w:val="20"/>
              </w:rPr>
              <w:t xml:space="preserve">Âge de l'usufruitier</w:t>
            </w:r>
          </w:p>
        </w:tc>
        <w:tc>
          <w:tcPr>
            <w:tcW w:type="dxa" w:w="3000"/>
            <w:shd w:fill="1B3A6B" w:val="clear"/>
          </w:tcPr>
          <w:p>
            <w:pPr>
              <w:spacing w:after="40" w:before="40"/>
              <w:jc w:val="center"/>
            </w:pPr>
            <w:r>
              <w:rPr>
                <w:rFonts w:ascii="Times New Roman" w:cs="Times New Roman" w:eastAsia="Times New Roman" w:hAnsi="Times New Roman"/>
                <w:b/>
                <w:bCs/>
                <w:color w:val="FFFFFF"/>
                <w:sz w:val="20"/>
                <w:szCs w:val="20"/>
              </w:rPr>
              <w:t xml:space="preserve">Valeur de l'usufruit</w:t>
            </w:r>
          </w:p>
        </w:tc>
        <w:tc>
          <w:tcPr>
            <w:tcW w:type="dxa" w:w="3000"/>
            <w:shd w:fill="1B3A6B" w:val="clear"/>
          </w:tcPr>
          <w:p>
            <w:pPr>
              <w:spacing w:after="40" w:before="40"/>
              <w:jc w:val="center"/>
            </w:pPr>
            <w:r>
              <w:rPr>
                <w:rFonts w:ascii="Times New Roman" w:cs="Times New Roman" w:eastAsia="Times New Roman" w:hAnsi="Times New Roman"/>
                <w:b/>
                <w:bCs/>
                <w:color w:val="FFFFFF"/>
                <w:sz w:val="20"/>
                <w:szCs w:val="20"/>
              </w:rPr>
              <w:t xml:space="preserve">Valeur de la nue-propriété</w:t>
            </w:r>
          </w:p>
        </w:tc>
      </w:tr>
      <w:tr>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Moins de 21 ans</w:t>
            </w:r>
          </w:p>
        </w:tc>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90 %</w:t>
            </w:r>
          </w:p>
        </w:tc>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10 %</w:t>
            </w:r>
          </w:p>
        </w:tc>
      </w:tr>
      <w:tr>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Moins de 31 ans</w:t>
            </w:r>
          </w:p>
        </w:tc>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80 %</w:t>
            </w:r>
          </w:p>
        </w:tc>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20 %</w:t>
            </w:r>
          </w:p>
        </w:tc>
      </w:tr>
      <w:tr>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Moins de 41 ans</w:t>
            </w:r>
          </w:p>
        </w:tc>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70 %</w:t>
            </w:r>
          </w:p>
        </w:tc>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30 %</w:t>
            </w:r>
          </w:p>
        </w:tc>
      </w:tr>
      <w:tr>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Moins de 51 ans</w:t>
            </w:r>
          </w:p>
        </w:tc>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60 %</w:t>
            </w:r>
          </w:p>
        </w:tc>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40 %</w:t>
            </w:r>
          </w:p>
        </w:tc>
      </w:tr>
      <w:tr>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Moins de 61 ans</w:t>
            </w:r>
          </w:p>
        </w:tc>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50 %</w:t>
            </w:r>
          </w:p>
        </w:tc>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50 %</w:t>
            </w:r>
          </w:p>
        </w:tc>
      </w:tr>
      <w:tr>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Moins de 71 ans (tranche applicable à 61 ans)</w:t>
            </w:r>
          </w:p>
        </w:tc>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40 %</w:t>
            </w:r>
          </w:p>
        </w:tc>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60 %</w:t>
            </w:r>
          </w:p>
        </w:tc>
      </w:tr>
      <w:tr>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Moins de 81 ans</w:t>
            </w:r>
          </w:p>
        </w:tc>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30 %</w:t>
            </w:r>
          </w:p>
        </w:tc>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70 %</w:t>
            </w:r>
          </w:p>
        </w:tc>
      </w:tr>
      <w:tr>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Moins de 91 ans</w:t>
            </w:r>
          </w:p>
        </w:tc>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20 %</w:t>
            </w:r>
          </w:p>
        </w:tc>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80 %</w:t>
            </w:r>
          </w:p>
        </w:tc>
      </w:tr>
      <w:tr>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91 ans et plus</w:t>
            </w:r>
          </w:p>
        </w:tc>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10 %</w:t>
            </w:r>
          </w:p>
        </w:tc>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90 %</w:t>
            </w:r>
          </w:p>
        </w:tc>
      </w:tr>
    </w:tbl>
    <w:p>
      <w:pPr>
        <w:spacing w:after="0" w:before="80"/>
      </w:pPr>
    </w:p>
    <w:p>
      <w:pPr>
        <w:spacing w:after="60" w:before="60"/>
      </w:pPr>
      <w:r>
        <w:rPr>
          <w:rFonts w:ascii="Times New Roman" w:cs="Times New Roman" w:eastAsia="Times New Roman" w:hAnsi="Times New Roman"/>
          <w:color w:val="1F2937"/>
          <w:sz w:val="22"/>
          <w:szCs w:val="22"/>
        </w:rPr>
        <w:t xml:space="preserve">Logique fiscale : la base taxable lors d'une donation de nue-propriété est la valeur de la nue-propriété seulement — pas la valeur totale du bien. Plus le donateur est âgé, plus la nue-propriété pèse une part importante du bien (l'usufruit restant s'amenuise avec l'espérance de vie).</w:t>
      </w:r>
    </w:p>
    <w:p>
      <w:pPr>
        <w:pBdr>
          <w:left w:val="thick" w:color="1B3A6B" w:sz="6"/>
        </w:pBdr>
        <w:shd w:fill="F3F4F6" w:val="clear"/>
        <w:spacing w:after="80" w:before="80"/>
        <w:ind w:left="288" w:right="288"/>
      </w:pPr>
      <w:r>
        <w:rPr>
          <w:rFonts w:ascii="Times New Roman" w:cs="Times New Roman" w:eastAsia="Times New Roman" w:hAnsi="Times New Roman"/>
          <w:color w:val="1F2937"/>
          <w:sz w:val="22"/>
          <w:szCs w:val="22"/>
        </w:rPr>
        <w:t xml:space="preserve">Exemple de lecture du barème : un usufruitier de 61 ans est dans la tranche « moins de 71 ans ». L'usufruit vaut 40 % de la pleine propriété ; la nue-propriété vaut 60 %. Les droits de donation ne sont calculés que sur 60 % de la valeur totale.</w:t>
      </w:r>
    </w:p>
    <w:p>
      <w:pPr>
        <w:spacing w:after="80" w:before="200"/>
      </w:pPr>
      <w:r>
        <w:rPr>
          <w:rFonts w:ascii="Times New Roman" w:cs="Times New Roman" w:eastAsia="Times New Roman" w:hAnsi="Times New Roman"/>
          <w:b/>
          <w:bCs/>
          <w:color w:val="1F2937"/>
          <w:sz w:val="26"/>
          <w:szCs w:val="26"/>
        </w:rPr>
        <w:t xml:space="preserve">4. La donation-partage</w:t>
      </w:r>
    </w:p>
    <w:p>
      <w:pPr>
        <w:spacing w:after="60" w:before="60"/>
      </w:pPr>
      <w:r>
        <w:rPr>
          <w:rFonts w:ascii="Times New Roman" w:cs="Times New Roman" w:eastAsia="Times New Roman" w:hAnsi="Times New Roman"/>
          <w:color w:val="1F2937"/>
          <w:sz w:val="22"/>
          <w:szCs w:val="22"/>
        </w:rPr>
        <w:t xml:space="preserve">La donation-partage est un acte notarié qui répartit les biens entre héritiers du vivant du donateur. Avantage civil : les biens donnés sont gelés à leur valeur au jour de la donation pour le calcul des parts successorales futures (pas de réévaluation en cas d'appréciation). Elle limite les conflits au moment du décès.</w:t>
      </w:r>
    </w:p>
    <w:p>
      <w:pPr>
        <w:spacing w:after="80" w:before="200"/>
      </w:pPr>
      <w:r>
        <w:rPr>
          <w:rFonts w:ascii="Times New Roman" w:cs="Times New Roman" w:eastAsia="Times New Roman" w:hAnsi="Times New Roman"/>
          <w:b/>
          <w:bCs/>
          <w:color w:val="1F2937"/>
          <w:sz w:val="26"/>
          <w:szCs w:val="26"/>
        </w:rPr>
        <w:t xml:space="preserve">5. Assurance-vie et transmission : un régime distinct</w:t>
      </w:r>
    </w:p>
    <w:p>
      <w:pPr>
        <w:spacing w:after="60" w:before="60"/>
      </w:pPr>
      <w:r>
        <w:rPr>
          <w:rFonts w:ascii="Times New Roman" w:cs="Times New Roman" w:eastAsia="Times New Roman" w:hAnsi="Times New Roman"/>
          <w:color w:val="1F2937"/>
          <w:sz w:val="22"/>
          <w:szCs w:val="22"/>
        </w:rPr>
        <w:t xml:space="preserve">L'assurance-vie bénéficie d'un régime successoral particulier : les capitaux décès sont transmis aux bénéficiaires désignés hors succession civile (hors réserve héréditaire sous conditions) et hors droits de succession, dans certaines limites. Ce régime a été détaillé en leçon 6 — il est rappelé ici comme levier complémentaire à la transmission.</w:t>
      </w:r>
      <w:r>
        <w:rPr>
          <w:rFonts w:ascii="Times New Roman" w:cs="Times New Roman" w:eastAsia="Times New Roman" w:hAnsi="Times New Roman"/>
          <w:i/>
          <w:iCs/>
          <w:color w:val="6B7280"/>
          <w:sz w:val="20"/>
          <w:szCs w:val="20"/>
        </w:rPr>
        <w:t xml:space="preserve"> [Corrigé le 26/09/2026 : deux thèmes que la leçon 15 annonçait pour aujourd'hui ne sont PAS traités ici, et il vaut mieux l'écrire que le laisser chercher : le DÉMEMBREMENT DE LA CLAUSE BÉNÉFICIAIRE d'un contrat d'assurance-vie (usufruit du capital au conjoint, nue-propriété aux enfants) et le PACTE DUTREIL (transmission d'entreprise). Vérifié le 26/09/2026 : « Dutreil » et « clause bénéficiaire » comptent zéro occurrence dans cette leçon. Les cinq lignes ci-dessus ne sont qu'un rappel de la leçon 06 du 18/07/2026, qui détaille le régime successoral de l'assurance-vie. Ces deux sujets restent à traiter ; d'ici là, ils se posent à un notaire.]</w:t>
      </w:r>
    </w:p>
    <w:p>
      <w:pPr>
        <w:spacing w:after="100" w:before="280"/>
      </w:pPr>
      <w:r>
        <w:rPr>
          <w:rFonts w:ascii="Times New Roman" w:cs="Times New Roman" w:eastAsia="Times New Roman" w:hAnsi="Times New Roman"/>
          <w:b/>
          <w:bCs/>
          <w:color w:val="1B3A6B"/>
          <w:sz w:val="30"/>
          <w:szCs w:val="30"/>
        </w:rPr>
        <w:t xml:space="preserve">🛠️ Pratique (80 %)</w:t>
      </w:r>
    </w:p>
    <w:p>
      <w:pPr>
        <w:spacing w:after="80" w:before="200"/>
      </w:pPr>
      <w:r>
        <w:rPr>
          <w:rFonts w:ascii="Times New Roman" w:cs="Times New Roman" w:eastAsia="Times New Roman" w:hAnsi="Times New Roman"/>
          <w:b/>
          <w:bCs/>
          <w:color w:val="1F2937"/>
          <w:sz w:val="26"/>
          <w:szCs w:val="26"/>
        </w:rPr>
        <w:t xml:space="preserve">Exercice 1 — Lire un barème de droits de succession</w:t>
      </w:r>
    </w:p>
    <w:p>
      <w:pPr>
        <w:spacing w:after="60" w:before="60"/>
      </w:pPr>
      <w:r>
        <w:rPr>
          <w:rFonts w:ascii="Times New Roman" w:cs="Times New Roman" w:eastAsia="Times New Roman" w:hAnsi="Times New Roman"/>
          <w:color w:val="1F2937"/>
          <w:sz w:val="22"/>
          <w:szCs w:val="22"/>
        </w:rPr>
        <w:t xml:space="preserve">Situation : Marianne décède et laisse un actif net de 280 000 € à son fils unique Théo. Il n'y a pas d'autre héritier.</w:t>
      </w:r>
    </w:p>
    <w:p>
      <w:pPr>
        <w:spacing w:after="60" w:before="6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 Quel est l'abattement applicable à Théo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b) Quelle est la part taxable après abattement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 À quel(s) taux du barème la part taxable est-elle soumise ? Calculez le montant des droits.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 Quel est le taux moyen d'imposition sur la succession brute (280 000 €) ?</w:t>
      </w:r>
    </w:p>
    <w:p>
      <w:pPr>
        <w:spacing w:after="80" w:before="200"/>
      </w:pPr>
      <w:r>
        <w:rPr>
          <w:rFonts w:ascii="Times New Roman" w:cs="Times New Roman" w:eastAsia="Times New Roman" w:hAnsi="Times New Roman"/>
          <w:b/>
          <w:bCs/>
          <w:color w:val="1F2937"/>
          <w:sz w:val="26"/>
          <w:szCs w:val="26"/>
        </w:rPr>
        <w:t xml:space="preserve">Corrigé exercice 1</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 L'abattement applicable à un enfant en ligne directe est de 100 000 €.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b) Part taxable : 280 000 − 100 000 = 180 000 €.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 Le barème en ligne directe s'applique tranche par tranche sur 180 000 € :</w:t>
      </w:r>
    </w:p>
    <w:p>
      <w:pPr>
        <w:pStyle w:val="ListParagraph"/>
        <w:numPr>
          <w:ilvl w:val="1"/>
          <w:numId w:val="1"/>
        </w:numPr>
        <w:spacing w:after="30" w:before="30"/>
      </w:pPr>
      <w:r>
        <w:rPr>
          <w:rFonts w:ascii="Times New Roman" w:cs="Times New Roman" w:eastAsia="Times New Roman" w:hAnsi="Times New Roman"/>
          <w:color w:val="1F2937"/>
          <w:sz w:val="22"/>
          <w:szCs w:val="22"/>
        </w:rPr>
        <w:t xml:space="preserve">Tranche 0 → 8 072 € : 8 072 × 5 % = 403,60 €</w:t>
      </w:r>
    </w:p>
    <w:p>
      <w:pPr>
        <w:pStyle w:val="ListParagraph"/>
        <w:numPr>
          <w:ilvl w:val="1"/>
          <w:numId w:val="1"/>
        </w:numPr>
        <w:spacing w:after="30" w:before="30"/>
      </w:pPr>
      <w:r>
        <w:rPr>
          <w:rFonts w:ascii="Times New Roman" w:cs="Times New Roman" w:eastAsia="Times New Roman" w:hAnsi="Times New Roman"/>
          <w:color w:val="1F2937"/>
          <w:sz w:val="22"/>
          <w:szCs w:val="22"/>
        </w:rPr>
        <w:t xml:space="preserve">Tranche 8 073 → 12 109 € (soit 4 037 €) : 4 037 × 10 % = 403,70 €</w:t>
      </w:r>
    </w:p>
    <w:p>
      <w:pPr>
        <w:pStyle w:val="ListParagraph"/>
        <w:numPr>
          <w:ilvl w:val="1"/>
          <w:numId w:val="1"/>
        </w:numPr>
        <w:spacing w:after="30" w:before="30"/>
      </w:pPr>
      <w:r>
        <w:rPr>
          <w:rFonts w:ascii="Times New Roman" w:cs="Times New Roman" w:eastAsia="Times New Roman" w:hAnsi="Times New Roman"/>
          <w:color w:val="1F2937"/>
          <w:sz w:val="22"/>
          <w:szCs w:val="22"/>
        </w:rPr>
        <w:t xml:space="preserve">Tranche 12 110 → 15 932 € (soit 3 823 €) : 3 823 × 15 % = 573,45 €</w:t>
      </w:r>
    </w:p>
    <w:p>
      <w:pPr>
        <w:pStyle w:val="ListParagraph"/>
        <w:numPr>
          <w:ilvl w:val="1"/>
          <w:numId w:val="1"/>
        </w:numPr>
        <w:spacing w:after="30" w:before="30"/>
      </w:pPr>
      <w:r>
        <w:rPr>
          <w:rFonts w:ascii="Times New Roman" w:cs="Times New Roman" w:eastAsia="Times New Roman" w:hAnsi="Times New Roman"/>
          <w:color w:val="1F2937"/>
          <w:sz w:val="22"/>
          <w:szCs w:val="22"/>
        </w:rPr>
        <w:t xml:space="preserve">Tranche 15 933 → 180 000 € (soit 164 068 €) : 164 068 × 20 % = 32 813,60 €</w:t>
      </w:r>
    </w:p>
    <w:p>
      <w:pPr>
        <w:pStyle w:val="ListParagraph"/>
        <w:numPr>
          <w:ilvl w:val="1"/>
          <w:numId w:val="1"/>
        </w:numPr>
        <w:spacing w:after="30" w:before="30"/>
      </w:pPr>
      <w:r>
        <w:rPr>
          <w:rFonts w:ascii="Times New Roman" w:cs="Times New Roman" w:eastAsia="Times New Roman" w:hAnsi="Times New Roman"/>
          <w:color w:val="1F2937"/>
          <w:sz w:val="22"/>
          <w:szCs w:val="22"/>
        </w:rPr>
        <w:t xml:space="preserve">Total des droits : 403,60 + 403,70 + 573,45 + 32 813,60 = 34 194,35 €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 Taux moyen sur la succession brute : 34 194,35 / 280 000 ≈ 12,2 %.</w:t>
      </w:r>
    </w:p>
    <w:p>
      <w:pPr>
        <w:pBdr>
          <w:left w:val="thick" w:color="1B3A6B" w:sz="6"/>
        </w:pBdr>
        <w:shd w:fill="F3F4F6" w:val="clear"/>
        <w:spacing w:after="80" w:before="80"/>
        <w:ind w:left="288" w:right="288"/>
      </w:pPr>
      <w:r>
        <w:rPr>
          <w:rFonts w:ascii="Times New Roman" w:cs="Times New Roman" w:eastAsia="Times New Roman" w:hAnsi="Times New Roman"/>
          <w:color w:val="1F2937"/>
          <w:sz w:val="22"/>
          <w:szCs w:val="22"/>
        </w:rPr>
        <w:t xml:space="preserve">Note pédagogique : le taux marginal (20 %) ne s'applique qu'à la partie qui dépasse le seuil de la tranche. Le taux moyen effectif est toujours inférieur au taux marginal. Ces calculs sont indicatifs — un notaire tient compte de la situation complète (dettes, biens communs, donations antérieures).</w:t>
      </w:r>
    </w:p>
    <w:p>
      <w:pPr>
        <w:spacing w:after="80" w:before="200"/>
      </w:pPr>
      <w:r>
        <w:rPr>
          <w:rFonts w:ascii="Times New Roman" w:cs="Times New Roman" w:eastAsia="Times New Roman" w:hAnsi="Times New Roman"/>
          <w:b/>
          <w:bCs/>
          <w:color w:val="1F2937"/>
          <w:sz w:val="26"/>
          <w:szCs w:val="26"/>
        </w:rPr>
        <w:t xml:space="preserve">Exercice 2 — Lire le barème art. 669 CGI et calculer la base taxable d'une donation en nue-propriété</w:t>
      </w:r>
    </w:p>
    <w:p>
      <w:pPr>
        <w:spacing w:after="60" w:before="60"/>
      </w:pPr>
      <w:r>
        <w:rPr>
          <w:rFonts w:ascii="Times New Roman" w:cs="Times New Roman" w:eastAsia="Times New Roman" w:hAnsi="Times New Roman"/>
          <w:color w:val="1F2937"/>
          <w:sz w:val="22"/>
          <w:szCs w:val="22"/>
        </w:rPr>
        <w:t xml:space="preserve">Situation : Paul, 61 ans, souhaite donner la nue-propriété de son appartement locatif à sa fille Inès. La valeur vénale de l'appartement en pleine propriété est estimée à 400 000 €. Paul conserve l'usufruit (il continue à percevoir les loyers).</w:t>
      </w:r>
    </w:p>
    <w:p>
      <w:pPr>
        <w:spacing w:after="60" w:before="6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 Paul a 61 ans : dans quelle tranche du barème art. 669 CGI se situe-t-il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b) Quelle est la valeur fiscale de l'usufruit ? Et de la nue-propriété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 Sur quelle base les droits de donation seront-ils calculés pour Inès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 Après application de l'abattement de 100 000 €, quelle est la part taxable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 Comparez à une donation de pleine propriété : quel est l'avantage fiscal brut du démembrement ?</w:t>
      </w:r>
    </w:p>
    <w:p>
      <w:pPr>
        <w:spacing w:after="80" w:before="200"/>
      </w:pPr>
      <w:r>
        <w:rPr>
          <w:rFonts w:ascii="Times New Roman" w:cs="Times New Roman" w:eastAsia="Times New Roman" w:hAnsi="Times New Roman"/>
          <w:b/>
          <w:bCs/>
          <w:color w:val="1F2937"/>
          <w:sz w:val="26"/>
          <w:szCs w:val="26"/>
        </w:rPr>
        <w:t xml:space="preserve">Corrigé exercice 2</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 Paul a 61 ans → tranche « moins de 71 ans » du barème art. 669 CGI.</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b) Valeur de l'usufruit : 40 % × 400 000 = 160 000 €. Valeur de la nue-propriété : 60 % × 400 000 = 240 000 €.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 Les droits de donation sont calculés sur la valeur de la nue-propriété : 240 000 €.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 Part taxable après abattement : 240 000 − 100 000 = 140 000 €. (Pour une donation de pleine propriété, la part taxable serait 400 000 − 100 000 = 300 000 €.)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 Avantage fiscal brut : la base taxable est réduite de 300 000 − 140 000 = 160 000 €, soit la valeur de l'usufruit conservé par Paul. Les droits sont calculés sur un montant inférieur, et à terme, au décès de Paul, Inès récupérera la pleine propriété sans droits supplémentaires.</w:t>
      </w:r>
    </w:p>
    <w:p>
      <w:pPr>
        <w:pBdr>
          <w:left w:val="thick" w:color="1B3A6B" w:sz="6"/>
        </w:pBdr>
        <w:shd w:fill="F3F4F6" w:val="clear"/>
        <w:spacing w:after="80" w:before="80"/>
        <w:ind w:left="288" w:right="288"/>
      </w:pPr>
      <w:r>
        <w:rPr>
          <w:rFonts w:ascii="Times New Roman" w:cs="Times New Roman" w:eastAsia="Times New Roman" w:hAnsi="Times New Roman"/>
          <w:color w:val="1F2937"/>
          <w:sz w:val="22"/>
          <w:szCs w:val="22"/>
        </w:rPr>
        <w:t xml:space="preserve">Vigilance : le démembrement n'est pas une solution universelle. Les implications civiles (accord de l'usufruitier pour vendre), fiscales (IFI possible sur l'usufruit si patrimoine important) et pratiques (gestion du bien) méritent une analyse complète par un notaire.</w:t>
      </w:r>
    </w:p>
    <w:p>
      <w:pPr>
        <w:spacing w:after="80" w:before="200"/>
      </w:pPr>
      <w:r>
        <w:rPr>
          <w:rFonts w:ascii="Times New Roman" w:cs="Times New Roman" w:eastAsia="Times New Roman" w:hAnsi="Times New Roman"/>
          <w:b/>
          <w:bCs/>
          <w:color w:val="1F2937"/>
          <w:sz w:val="26"/>
          <w:szCs w:val="26"/>
        </w:rPr>
        <w:t xml:space="preserve">Exercice 3 — Comparer deux stratégies de transmission</w:t>
      </w:r>
    </w:p>
    <w:p>
      <w:pPr>
        <w:spacing w:after="60" w:before="60"/>
      </w:pPr>
      <w:r>
        <w:rPr>
          <w:rFonts w:ascii="Times New Roman" w:cs="Times New Roman" w:eastAsia="Times New Roman" w:hAnsi="Times New Roman"/>
          <w:color w:val="1F2937"/>
          <w:sz w:val="22"/>
          <w:szCs w:val="22"/>
        </w:rPr>
        <w:t xml:space="preserve">Situation : Christine, 58 ans, veut transmettre 200 000 € à sa fille Emma. Elle envisage deux options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Option A : transmettre maintenant par donation.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Option B : ne rien faire et laisser passer par succession.</w:t>
      </w:r>
    </w:p>
    <w:p>
      <w:pPr>
        <w:spacing w:after="60" w:before="6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 Dans les deux cas, quel est l'abattement disponible (en supposant aucune donation antérieure dans les 15 ans)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b) Dans les deux cas, quelle est la part taxable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 La décision de donner maintenant plutôt qu'au décès change-t-elle les droits à payer sur ce seul transfert de 200 000 €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 Quel avantage la donation anticipée peut-elle néanmoins offrir si Christine vit encore 16 ans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 Quelle question poseriez-vous à un notaire avant de choisir ?</w:t>
      </w:r>
    </w:p>
    <w:p>
      <w:pPr>
        <w:spacing w:after="80" w:before="200"/>
      </w:pPr>
      <w:r>
        <w:rPr>
          <w:rFonts w:ascii="Times New Roman" w:cs="Times New Roman" w:eastAsia="Times New Roman" w:hAnsi="Times New Roman"/>
          <w:b/>
          <w:bCs/>
          <w:color w:val="1F2937"/>
          <w:sz w:val="26"/>
          <w:szCs w:val="26"/>
        </w:rPr>
        <w:t xml:space="preserve">Corrigé exercice 3</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 Abattement identique dans les deux cas : 100 000 € (en ligne directe, par parent et par enfant).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b) Part taxable dans les deux cas : 200 000 − 100 000 = 100 000 €.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 Sur ce seul transfert, non : l'abattement et le barème sont identiques. Les droits calculés sur 100 000 € en ligne directe sont les mêmes.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 Si Christine vit 16 ans de plus, l'abattement de 100 000 € se sera rechargé (tous les 15 ans). Elle pourra réaliser une seconde donation exonérée jusqu'à 100 000 €. En planifiant tôt, deux tranches d'abattements peuvent être utilisées, contre une seule en cas de transmission par décès tardif.</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 Exemples de questions à poser au notaire : Les donations antérieures réduisent-elles l'abattement disponible aujourd'hui ? Quelle est la valeur à retenir si les biens données s'apprécient d'ici le décès (impact sur la réserve héréditaire) ? La donation-partage est-elle plus adaptée pour figer les valeurs ?</w:t>
      </w:r>
    </w:p>
    <w:p>
      <w:pPr>
        <w:spacing w:after="100" w:before="280"/>
      </w:pPr>
      <w:r>
        <w:rPr>
          <w:rFonts w:ascii="Times New Roman" w:cs="Times New Roman" w:eastAsia="Times New Roman" w:hAnsi="Times New Roman"/>
          <w:b/>
          <w:bCs/>
          <w:color w:val="1B3A6B"/>
          <w:sz w:val="30"/>
          <w:szCs w:val="30"/>
        </w:rPr>
        <w:t xml:space="preserve">🎯 Challenge — Analyser une situation patrimoniale complexe</w:t>
      </w:r>
    </w:p>
    <w:p>
      <w:pPr>
        <w:spacing w:after="60" w:before="60"/>
      </w:pPr>
      <w:r>
        <w:rPr>
          <w:rFonts w:ascii="Times New Roman" w:cs="Times New Roman" w:eastAsia="Times New Roman" w:hAnsi="Times New Roman"/>
          <w:color w:val="1F2937"/>
          <w:sz w:val="22"/>
          <w:szCs w:val="22"/>
        </w:rPr>
        <w:t xml:space="preserve">Situation : Bernard, 68 ans, est propriétaire d'un immeuble locatif estimé à 600 000 €. Il a deux enfants adultes : Lucie et Marc. Il n'a effectué aucune donation au cours des 15 dernières années. Il souhaite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Continuer à percevoir les loyers jusqu'à sa retraite complète (encore 7 ans).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Transmettre le bien à Lucie et Marc en minimisant les droits.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Ne pas vendre le bien.</w:t>
      </w:r>
    </w:p>
    <w:p>
      <w:pPr>
        <w:spacing w:after="60" w:before="6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1. Bernard a 68 ans. Dans quelle tranche du barème art. 669 CGI se situe-t-il ? Quelle est la valeur fiscale de la nue-propriété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2. S'il donne la nue-propriété à Lucie et Marc (à parts égales), quelle est la base taxable pour chacun ? Après abattement de 100 000 € par enfant, quelle est la part nette taxable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3. Comparez à une transmission par décès : quelles seraient les bases taxables de Lucie et Marc dans ce cas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4. Identifiez deux avantages du démembrement dans cette situation, et une limite ou un risque à signaler.</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5. Quelles questions Bernard devrait-il poser à un notaire avant de signer une donation en nue-propriété ?</w:t>
      </w:r>
    </w:p>
    <w:p>
      <w:pPr>
        <w:spacing w:after="80" w:before="200"/>
      </w:pPr>
      <w:r>
        <w:rPr>
          <w:rFonts w:ascii="Times New Roman" w:cs="Times New Roman" w:eastAsia="Times New Roman" w:hAnsi="Times New Roman"/>
          <w:b/>
          <w:bCs/>
          <w:color w:val="1F2937"/>
          <w:sz w:val="26"/>
          <w:szCs w:val="26"/>
        </w:rPr>
        <w:t xml:space="preserve">Corrigé du Challenge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1. Bernard a 68 ans → tranche « moins de 71 ans » → nue-propriété = 60 %, soit 60 % × 600 000 = 360 000 €.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2. Donation de nue-propriété partagée entre deux enfants : chacun reçoit 180 000 €. Après abattement de 100 000 € : part taxable par enfant = 80 000 €. Le taux applicable sur 80 000 € (en ligne directe) est de 20 % (la quasi-totalité dépasse le seuil de 15 932 €). Droits approximatifs par enfant (hors premiers seuils) : 80 000 × 20 % = 16 000 € (approximation pédagogique — le calcul réel tranche par tranche donnerait un chiffre légèrement différent en raison des tranches à 5 %, 10 % et 15 % sur les premiers 15 932 €).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3. Transmission par décès : base brute par enfant = 300 000 € (600 000 / 2). Après abattement de 100 000 € : part taxable = 200 000 €. Les droits seraient calculés sur une base nettement supérieure.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4. Avantages : (i) la base taxable est réduite à la valeur de la nue-propriété seulement ; (ii) au décès de Bernard, Lucie et Marc récupèrent la pleine propriété sans droits de succession supplémentaires. Limite/risque : Bernard perd le droit de vendre librement l'immeuble sans accord des nus-propriétaires ; si la valeur du bien augmente fortement après la donation, cet avantage fiscal ne suit pas.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5. Questions à poser au notaire : Quelle est la date d'effet de l'abattement de 100 000 € en cas de donation aujourd'hui (impact sur une future succession) ? Quel régime fiscal s'applique si Bernard souhaite vendre l'immeuble avec l'accord de ses enfants ? Y a-t-il des droits d'IFI à considérer sur l'usufruit si son patrimoine le justifie ? La donation-partage est-elle préférable pour figer les valeurs et éviter les conflits ?</w:t>
      </w:r>
    </w:p>
    <w:p>
      <w:pPr>
        <w:spacing w:after="100" w:before="280"/>
      </w:pPr>
      <w:r>
        <w:rPr>
          <w:rFonts w:ascii="Times New Roman" w:cs="Times New Roman" w:eastAsia="Times New Roman" w:hAnsi="Times New Roman"/>
          <w:b/>
          <w:bCs/>
          <w:color w:val="1B3A6B"/>
          <w:sz w:val="30"/>
          <w:szCs w:val="30"/>
        </w:rPr>
        <w:t xml:space="preserve">🌉 Pont pro (optionnel)</w:t>
      </w:r>
    </w:p>
    <w:p>
      <w:pPr>
        <w:spacing w:after="60" w:before="60"/>
      </w:pPr>
      <w:r>
        <w:rPr>
          <w:rFonts w:ascii="Times New Roman" w:cs="Times New Roman" w:eastAsia="Times New Roman" w:hAnsi="Times New Roman"/>
          <w:color w:val="1F2937"/>
          <w:sz w:val="22"/>
          <w:szCs w:val="22"/>
        </w:rPr>
        <w:t xml:space="preserve">En tant que chef de service en ESSMS, vous accompagnez des adultes handicapés dont certains disposent d'un patrimoine ou dont les familles s'interrogent sur la transmission. Deux points de vigilance professionnelle (non des conseils personnalisés) : (1) la transmission anticipée peut influer sur les ressources d'une personne accompagnée (calcul de la participation, accès aux droits) — un travailleur social ou l'APA peut être concerné ; (2) dans le cadre de la tutelle ou de la curatelle, toute donation nécessite une autorisation du juge des contentieux de la protection. Ce sont des situations qui appellent le renvoi vers un notaire, pas une réponse de la part de l'équipe éducative.</w:t>
      </w:r>
    </w:p>
    <w:p>
      <w:pPr>
        <w:spacing w:after="100" w:before="280"/>
      </w:pPr>
      <w:r>
        <w:rPr>
          <w:rFonts w:ascii="Times New Roman" w:cs="Times New Roman" w:eastAsia="Times New Roman" w:hAnsi="Times New Roman"/>
          <w:b/>
          <w:bCs/>
          <w:color w:val="1B3A6B"/>
          <w:sz w:val="30"/>
          <w:szCs w:val="30"/>
        </w:rPr>
        <w:t xml:space="preserve">📚 Ressources cliquables</w:t>
      </w:r>
    </w:p>
    <w:p>
      <w:pPr>
        <w:spacing w:after="60" w:before="60"/>
      </w:pPr>
      <w:r>
        <w:rPr>
          <w:rFonts w:ascii="Times New Roman" w:cs="Times New Roman" w:eastAsia="Times New Roman" w:hAnsi="Times New Roman"/>
          <w:color w:val="1F2937"/>
          <w:sz w:val="22"/>
          <w:szCs w:val="22"/>
        </w:rPr>
        <w:t xml:space="preserve">1. </w:t>
      </w:r>
      <w:hyperlink w:history="1" r:id="rIdpiewluu4sangocfwk9mpj">
        <w:r>
          <w:rPr>
            <w:rFonts w:ascii="Times New Roman" w:cs="Times New Roman" w:eastAsia="Times New Roman" w:hAnsi="Times New Roman"/>
            <w:color w:val="1155CC"/>
            <w:sz w:val="22"/>
            <w:szCs w:val="22"/>
            <w:u w:val="single"/>
          </w:rPr>
          <w:t xml:space="preserve">Service-Public.fr — Calcul des droits de succession (barèmes et abattements)</w:t>
        </w:r>
      </w:hyperlink>
      <w:r>
        <w:rPr>
          <w:rFonts w:ascii="Times New Roman" w:cs="Times New Roman" w:eastAsia="Times New Roman" w:hAnsi="Times New Roman"/>
          <w:color w:val="1F2937"/>
          <w:sz w:val="22"/>
          <w:szCs w:val="22"/>
        </w:rPr>
        <w:t xml:space="preserve"> — Source officielle consultée le 26/09/2026 (HTTP 200).</w:t>
      </w:r>
    </w:p>
    <w:p>
      <w:pPr>
        <w:spacing w:after="60" w:before="60"/>
      </w:pPr>
      <w:r>
        <w:rPr>
          <w:rFonts w:ascii="Times New Roman" w:cs="Times New Roman" w:eastAsia="Times New Roman" w:hAnsi="Times New Roman"/>
          <w:color w:val="1F2937"/>
          <w:sz w:val="22"/>
          <w:szCs w:val="22"/>
        </w:rPr>
        <w:t xml:space="preserve">2. </w:t>
      </w:r>
      <w:hyperlink w:history="1" r:id="rIdimnk5qyskjjd6f2ldd4df">
        <w:r>
          <w:rPr>
            <w:rFonts w:ascii="Times New Roman" w:cs="Times New Roman" w:eastAsia="Times New Roman" w:hAnsi="Times New Roman"/>
            <w:color w:val="1155CC"/>
            <w:sz w:val="22"/>
            <w:szCs w:val="22"/>
            <w:u w:val="single"/>
          </w:rPr>
          <w:t xml:space="preserve">Service-Public.fr — Donation : abattements et exonérations</w:t>
        </w:r>
      </w:hyperlink>
      <w:r>
        <w:rPr>
          <w:rFonts w:ascii="Times New Roman" w:cs="Times New Roman" w:eastAsia="Times New Roman" w:hAnsi="Times New Roman"/>
          <w:color w:val="1F2937"/>
          <w:sz w:val="22"/>
          <w:szCs w:val="22"/>
        </w:rPr>
        <w:t xml:space="preserve"> — Source officielle consultée le 26/09/2026 (HTTP 200).</w:t>
      </w:r>
    </w:p>
    <w:p>
      <w:pPr>
        <w:spacing w:after="60" w:before="60"/>
      </w:pPr>
      <w:r>
        <w:rPr>
          <w:rFonts w:ascii="Times New Roman" w:cs="Times New Roman" w:eastAsia="Times New Roman" w:hAnsi="Times New Roman"/>
          <w:color w:val="1F2937"/>
          <w:sz w:val="22"/>
          <w:szCs w:val="22"/>
        </w:rPr>
        <w:t xml:space="preserve">3. </w:t>
      </w:r>
      <w:hyperlink w:history="1" r:id="rIdq9de_aiepb1rw7nakfs8i">
        <w:r>
          <w:rPr>
            <w:rFonts w:ascii="Times New Roman" w:cs="Times New Roman" w:eastAsia="Times New Roman" w:hAnsi="Times New Roman"/>
            <w:color w:val="1155CC"/>
            <w:sz w:val="22"/>
            <w:szCs w:val="22"/>
            <w:u w:val="single"/>
          </w:rPr>
          <w:t xml:space="preserve">Légifrance — Article 669 CGI (barème usufruit / nue-propriété)</w:t>
        </w:r>
      </w:hyperlink>
      <w:r>
        <w:rPr>
          <w:rFonts w:ascii="Times New Roman" w:cs="Times New Roman" w:eastAsia="Times New Roman" w:hAnsi="Times New Roman"/>
          <w:color w:val="1F2937"/>
          <w:sz w:val="22"/>
          <w:szCs w:val="22"/>
        </w:rPr>
        <w:t xml:space="preserve"> — Texte de loi officiel consulté le 26/09/2026 (HTTP 403 anti-robot probable ; contenu vérifié lors de cette exécution via WebFetch).</w:t>
      </w:r>
    </w:p>
    <w:p>
      <w:pPr>
        <w:spacing w:after="60" w:before="60"/>
      </w:pPr>
      <w:r>
        <w:rPr>
          <w:rFonts w:ascii="Times New Roman" w:cs="Times New Roman" w:eastAsia="Times New Roman" w:hAnsi="Times New Roman"/>
          <w:color w:val="1F2937"/>
          <w:sz w:val="22"/>
          <w:szCs w:val="22"/>
        </w:rPr>
        <w:t xml:space="preserve">4. </w:t>
      </w:r>
      <w:hyperlink w:history="1" r:id="rIdnplfbxumeulubtilx7lnx">
        <w:r>
          <w:rPr>
            <w:rFonts w:ascii="Times New Roman" w:cs="Times New Roman" w:eastAsia="Times New Roman" w:hAnsi="Times New Roman"/>
            <w:color w:val="1155CC"/>
            <w:sz w:val="22"/>
            <w:szCs w:val="22"/>
            <w:u w:val="single"/>
          </w:rPr>
          <w:t xml:space="preserve">La Finance pour Tous — Patrimoine et transmission</w:t>
        </w:r>
      </w:hyperlink>
      <w:r>
        <w:rPr>
          <w:rFonts w:ascii="Times New Roman" w:cs="Times New Roman" w:eastAsia="Times New Roman" w:hAnsi="Times New Roman"/>
          <w:color w:val="1F2937"/>
          <w:sz w:val="22"/>
          <w:szCs w:val="22"/>
        </w:rPr>
        <w:t xml:space="preserve"> — IEFP, éducation financière publique, consulté le 26/09/2026 (HTTP 200).</w:t>
      </w:r>
    </w:p>
    <w:p>
      <w:pPr>
        <w:spacing w:after="100" w:before="280"/>
      </w:pPr>
      <w:r>
        <w:rPr>
          <w:rFonts w:ascii="Times New Roman" w:cs="Times New Roman" w:eastAsia="Times New Roman" w:hAnsi="Times New Roman"/>
          <w:b/>
          <w:bCs/>
          <w:color w:val="1B3A6B"/>
          <w:sz w:val="30"/>
          <w:szCs w:val="30"/>
        </w:rPr>
        <w:t xml:space="preserve">👤 Pour aller plus loin avec un professionnel</w:t>
      </w:r>
    </w:p>
    <w:p>
      <w:pPr>
        <w:spacing w:after="60" w:before="60"/>
      </w:pPr>
      <w:r>
        <w:rPr>
          <w:rFonts w:ascii="Times New Roman" w:cs="Times New Roman" w:eastAsia="Times New Roman" w:hAnsi="Times New Roman"/>
          <w:color w:val="1F2937"/>
          <w:sz w:val="22"/>
          <w:szCs w:val="22"/>
        </w:rPr>
        <w:t xml:space="preserve">Questions à préparer pour un notaire ou un conseiller en gestion de patrimoine (CGP / CIF agréé)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1. Compte tenu de mon patrimoine, quel est l'ordre de priorité entre donation en pleine propriété, donation en nue-propriété et assurance-vie pour transmettre à mes enfants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2. Si je réalise une donation aujourd'hui et que je décède avant 15 ans, comment les donations antérieures s'imputent-elles sur l'abattement successoral restant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3. Le dispositif temporaire d'exonération 2025-2026 (jusqu'à 100 000 € pour acquisition résidence principale ou travaux) est-il compatible avec mes projets familiaux, et quelles en sont les conditions exactes à ma date d'exécution ?</w:t>
      </w:r>
    </w:p>
    <w:p>
      <w:pPr>
        <w:spacing w:after="100" w:before="280"/>
      </w:pPr>
      <w:r>
        <w:rPr>
          <w:rFonts w:ascii="Times New Roman" w:cs="Times New Roman" w:eastAsia="Times New Roman" w:hAnsi="Times New Roman"/>
          <w:b/>
          <w:bCs/>
          <w:color w:val="1B3A6B"/>
          <w:sz w:val="30"/>
          <w:szCs w:val="30"/>
        </w:rPr>
        <w:t xml:space="preserve">🔜 Prochaine leçon</w:t>
      </w:r>
    </w:p>
    <w:p>
      <w:pPr>
        <w:spacing w:after="60" w:before="60"/>
      </w:pPr>
      <w:r>
        <w:rPr>
          <w:rFonts w:ascii="Times New Roman" w:cs="Times New Roman" w:eastAsia="Times New Roman" w:hAnsi="Times New Roman"/>
          <w:b/>
          <w:bCs/>
          <w:color w:val="1B3A6B"/>
          <w:sz w:val="22"/>
          <w:szCs w:val="22"/>
        </w:rPr>
        <w:t xml:space="preserve">Leçon 17 / 20 — Arnaques, produits toxiques et signaux d'alerte</w:t>
      </w:r>
    </w:p>
    <w:p>
      <w:pPr>
        <w:spacing w:after="60" w:before="60"/>
      </w:pPr>
      <w:r>
        <w:rPr>
          <w:rFonts w:ascii="Times New Roman" w:cs="Times New Roman" w:eastAsia="Times New Roman" w:hAnsi="Times New Roman"/>
          <w:color w:val="1F2937"/>
          <w:sz w:val="22"/>
          <w:szCs w:val="22"/>
        </w:rPr>
        <w:t xml:space="preserve">Comment reconnaître une offre frauduleuse, les produits atypiques dangereux et les signaux d'alerte à connaître avant tout placement. Ressources AMF (listes noires, outil Protect Épargne) et réflexes pratiques.</w:t>
      </w:r>
    </w:p>
    <w:p>
      <w:pPr>
        <w:spacing w:after="120" w:before="360" w:line="276"/>
      </w:pPr>
      <w:r>
        <w:rPr>
          <w:rFonts w:ascii="Times New Roman" w:cs="Times New Roman" w:eastAsia="Times New Roman" w:hAnsi="Times New Roman"/>
          <w:b/>
          <w:bCs/>
          <w:color w:val="1F2937"/>
          <w:sz w:val="22"/>
          <w:szCs w:val="22"/>
        </w:rPr>
        <w:t xml:space="preserve">📝 Journal des corrections — 25 septembre 2026</w:t>
      </w:r>
    </w:p>
    <w:p>
      <w:pPr>
        <w:spacing w:after="60" w:before="60" w:line="276"/>
      </w:pPr>
      <w:r>
        <w:rPr>
          <w:rFonts w:ascii="Times New Roman" w:cs="Times New Roman" w:eastAsia="Times New Roman" w:hAnsi="Times New Roman"/>
          <w:b/>
          <w:bCs/>
          <w:color w:val="1F2937"/>
          <w:sz w:val="22"/>
          <w:szCs w:val="22"/>
        </w:rPr>
        <w:t xml:space="preserve">Une contradiction interne sur la progressivité du barème, et la version fausse arrivait la première.</w:t>
      </w:r>
      <w:r>
        <w:rPr>
          <w:rFonts w:ascii="Times New Roman" w:cs="Times New Roman" w:eastAsia="Times New Roman" w:hAnsi="Times New Roman"/>
          <w:color w:val="1F2937"/>
          <w:sz w:val="22"/>
          <w:szCs w:val="22"/>
        </w:rPr>
        <w:t xml:space="preserve"> L'exemple de la section 1 écrivait que 250 000 € de part taxable étaient « intégralement soumise au taux de 20 % ». Le barème est progressif, ce que la leçon démontre elle-même dans l'exercice 1 avant de l'énoncer en toutes lettres dans sa note pédagogique. Recalculé le 26/09/2026 : 403,60 + 403,70 + 573,45 + 46 813,60 = 48 194,35 € de droits, contre 50 000 € par le raccourci — 1 805,65 € de trop, et un taux moyen de 13,8 % là où le texte laissait entendre 20 %. Aucun contrôle ne compare deux sections d'un même document entre elles.</w:t>
      </w:r>
    </w:p>
    <w:p>
      <w:pPr>
        <w:spacing w:after="60" w:before="60" w:line="276"/>
      </w:pPr>
      <w:r>
        <w:rPr>
          <w:rFonts w:ascii="Times New Roman" w:cs="Times New Roman" w:eastAsia="Times New Roman" w:hAnsi="Times New Roman"/>
          <w:b/>
          <w:bCs/>
          <w:color w:val="1F2937"/>
          <w:sz w:val="22"/>
          <w:szCs w:val="22"/>
        </w:rPr>
        <w:t xml:space="preserve">Trois conditions étaient tombées entre la page et la leçon.</w:t>
      </w:r>
      <w:r>
        <w:rPr>
          <w:rFonts w:ascii="Times New Roman" w:cs="Times New Roman" w:eastAsia="Times New Roman" w:hAnsi="Times New Roman"/>
          <w:color w:val="1F2937"/>
          <w:sz w:val="22"/>
          <w:szCs w:val="22"/>
        </w:rPr>
        <w:t xml:space="preserve"> ① Le don familial de 31 865 € : « Neveu ou nièce si le donateur n'a pas de descendants » — la condition, qui inverse le résultat pour tout oncle ayant des enfants, avait disparu ; l'arrière-petit-enfant et l'exigence de majorité du bénéficiaire aussi. ② Le dispositif temporaire : les travaux doivent donner droit à MaPrimeRénov', le logement peut aussi être loué en résidence principale pendant cinq ans, et la vente en l'état futur d'achèvement est admise quand une maison individuelle hors VEFA ne l'est pas. ③ L'abattement de 1 594 €, étiqueté « autres (non-parents) », est d'abord celui du petit-enfant dont le parent est vivant — cas absent du tableau alors qu'il revient deux fois dans la section donation. Aucune de ces omissions n'était une invention : ce sont des conditions que les pages portent, dans un document fait pour préparer un rendez-vous notarial.</w:t>
      </w:r>
    </w:p>
    <w:p>
      <w:pPr>
        <w:spacing w:after="60" w:before="60" w:line="276"/>
      </w:pPr>
      <w:r>
        <w:rPr>
          <w:rFonts w:ascii="Times New Roman" w:cs="Times New Roman" w:eastAsia="Times New Roman" w:hAnsi="Times New Roman"/>
          <w:b/>
          <w:bCs/>
          <w:color w:val="1F2937"/>
          <w:sz w:val="22"/>
          <w:szCs w:val="22"/>
        </w:rPr>
        <w:t xml:space="preserve">Un biais prêté à la leçon 15, et deux thèmes qu'elle avait promis pour aujourd'hui.</w:t>
      </w:r>
      <w:r>
        <w:rPr>
          <w:rFonts w:ascii="Times New Roman" w:cs="Times New Roman" w:eastAsia="Times New Roman" w:hAnsi="Times New Roman"/>
          <w:color w:val="1F2937"/>
          <w:sz w:val="22"/>
          <w:szCs w:val="22"/>
        </w:rPr>
        <w:t xml:space="preserve"> L'ouverture invoquait « les biais d'inaction (procrastination) et d'aversion aux pertes » comme lien avec la leçon 15 : vérifié le 26/09/2026, « aversion aux pertes » y figure treize fois, « procrastination », « inaction », « statu quo » et « inertie » zéro fois. Et la leçon 15 annonçait six thèmes pour la 16 : quatre sont livrés, le PACTE DUTREIL et le DÉMEMBREMENT DE CLAUSE BÉNÉFICIAIRE n'y sont pas (zéro occurrence). C'est désormais écrit dans la section assurance-vie, et la leçon 15 porte la même mention datée.</w:t>
      </w:r>
    </w:p>
    <w:p>
      <w:pPr>
        <w:spacing w:after="60" w:before="60" w:line="276"/>
      </w:pPr>
      <w:r>
        <w:rPr>
          <w:rFonts w:ascii="Times New Roman" w:cs="Times New Roman" w:eastAsia="Times New Roman" w:hAnsi="Times New Roman"/>
          <w:b/>
          <w:bCs/>
          <w:color w:val="1F2937"/>
          <w:sz w:val="22"/>
          <w:szCs w:val="22"/>
        </w:rPr>
        <w:t xml:space="preserve">Ce qui a été rejoué et n'a pas bougé.</w:t>
      </w:r>
      <w:r>
        <w:rPr>
          <w:rFonts w:ascii="Times New Roman" w:cs="Times New Roman" w:eastAsia="Times New Roman" w:hAnsi="Times New Roman"/>
          <w:color w:val="1F2937"/>
          <w:sz w:val="22"/>
          <w:szCs w:val="22"/>
        </w:rPr>
        <w:t xml:space="preserve"> Les sept tranches du barème en ligne directe et les six abattements correspondent à service-public.gouv.fr au caractère près. Le barème de l'article 669 CGI est exact sur ses neuf tranches : Légifrance rend bien un 403 au curl, et la page s'ouvre par la voie que cette leçon disait avoir employée — vérification refaite le 26/09/2026. L'arithmétique des trois exercices est juste au centime, et les 403,70 € et 573,45 € sont littéralement les nombres de l'exemple de service-public. Le point le plus facile à rater est correctement traité : un usufruitier de 61 ans relève de la tranche « moins de 71 ans » — usufruit 40 %, nue-propriété 60 % — et le même calcul est réappliqué juste à 68 ans. Les rappels déontologiques et le renvoi au juge des contentieux de la protection pour une donation sous tutelle sont exacts.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iewluu4sangocfwk9mpj" Type="http://schemas.openxmlformats.org/officeDocument/2006/relationships/hyperlink" Target="https://www.service-public.gouv.fr/particuliers/vosdroits/F14198" TargetMode="External"/><Relationship Id="rIdimnk5qyskjjd6f2ldd4df" Type="http://schemas.openxmlformats.org/officeDocument/2006/relationships/hyperlink" Target="https://www.service-public.gouv.fr/particuliers/vosdroits/F10203" TargetMode="External"/><Relationship Id="rIdq9de_aiepb1rw7nakfs8i" Type="http://schemas.openxmlformats.org/officeDocument/2006/relationships/hyperlink" Target="https://www.legifrance.gouv.fr/codes/article_lc/LEGIARTI000006310173/" TargetMode="External"/><Relationship Id="rIdnplfbxumeulubtilx7lnx" Type="http://schemas.openxmlformats.org/officeDocument/2006/relationships/hyperlink" Target="https://www.lafinancepourtous.com/pratique/patrimoine/"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2026-09-26T06:10:38.216Z</dcterms:created>
  <dcterms:modified xsi:type="dcterms:W3CDTF">2026-09-26T06:10:38.217Z</dcterms:modified>
</cp:coreProperties>
</file>

<file path=docProps/custom.xml><?xml version="1.0" encoding="utf-8"?>
<Properties xmlns="http://schemas.openxmlformats.org/officeDocument/2006/custom-properties" xmlns:vt="http://schemas.openxmlformats.org/officeDocument/2006/docPropsVTypes"/>
</file>